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3F3D3" w14:textId="5D0967E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C73DE1">
        <w:rPr>
          <w:rFonts w:ascii="Calibri" w:hAnsi="Calibri"/>
        </w:rPr>
        <w:t>ENAV20</w:t>
      </w:r>
      <w:r w:rsidR="0050366D">
        <w:rPr>
          <w:rFonts w:ascii="Calibri" w:hAnsi="Calibri"/>
        </w:rPr>
        <w:t>-13.16</w:t>
      </w:r>
    </w:p>
    <w:p w14:paraId="707DAAF5" w14:textId="77777777" w:rsidR="00BF32F0" w:rsidRPr="007A395D" w:rsidRDefault="00BF32F0" w:rsidP="006F2B88">
      <w:pPr>
        <w:pStyle w:val="BodyText"/>
      </w:pPr>
    </w:p>
    <w:p w14:paraId="201479E2" w14:textId="77777777" w:rsidR="00D019CE" w:rsidRPr="007A395D" w:rsidRDefault="00D019CE" w:rsidP="006F2B88">
      <w:pPr>
        <w:pStyle w:val="BodyText"/>
      </w:pPr>
    </w:p>
    <w:p w14:paraId="4C9496C3" w14:textId="77777777" w:rsidR="0080294B" w:rsidRPr="007A395D" w:rsidRDefault="00E558C3" w:rsidP="006F2B88">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B689180" w14:textId="77777777" w:rsidR="0080294B" w:rsidRPr="007A395D" w:rsidRDefault="0080294B" w:rsidP="006F2B88">
      <w:pPr>
        <w:pStyle w:val="BodyText"/>
        <w:rPr>
          <w:b/>
        </w:rPr>
      </w:pPr>
      <w:r w:rsidRPr="007A395D">
        <w:rPr>
          <w:b/>
        </w:rPr>
        <w:t>□</w:t>
      </w:r>
      <w:r w:rsidRPr="007A395D">
        <w:t xml:space="preserve">  ARM</w:t>
      </w:r>
      <w:r w:rsidR="00037DF4" w:rsidRPr="007A395D">
        <w:tab/>
      </w:r>
      <w:r w:rsidR="00342832">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A75F4F">
        <w:rPr>
          <w:b/>
        </w:rPr>
        <w:sym w:font="Wingdings" w:char="F078"/>
      </w:r>
      <w:r w:rsidRPr="007A395D">
        <w:t xml:space="preserve">  Input</w:t>
      </w:r>
    </w:p>
    <w:p w14:paraId="75A2D375" w14:textId="77777777" w:rsidR="0080294B" w:rsidRPr="007A395D" w:rsidRDefault="00A75F4F" w:rsidP="006F2B88">
      <w:pPr>
        <w:pStyle w:val="BodyText"/>
      </w:pPr>
      <w:r>
        <w:rPr>
          <w:b/>
        </w:rPr>
        <w:sym w:font="Wingdings" w:char="F078"/>
      </w:r>
      <w:r w:rsidR="0080294B" w:rsidRPr="007A395D">
        <w:t xml:space="preserve">  ENAV</w:t>
      </w:r>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0294B" w:rsidRPr="007A395D">
        <w:rPr>
          <w:b/>
        </w:rPr>
        <w:t>□</w:t>
      </w:r>
      <w:r w:rsidR="0080294B" w:rsidRPr="007A395D">
        <w:t xml:space="preserve">  Information</w:t>
      </w:r>
    </w:p>
    <w:p w14:paraId="0297285E" w14:textId="77777777" w:rsidR="0080294B" w:rsidRPr="007A395D" w:rsidRDefault="0080294B" w:rsidP="006F2B88">
      <w:pPr>
        <w:pStyle w:val="BodyText"/>
      </w:pPr>
    </w:p>
    <w:p w14:paraId="7BF4512C" w14:textId="4A7F58F8" w:rsidR="00A446C9" w:rsidRPr="007A395D" w:rsidRDefault="00A446C9" w:rsidP="006F2B88">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2C1170">
        <w:tab/>
      </w:r>
      <w:r w:rsidR="002C1170">
        <w:tab/>
      </w:r>
      <w:r w:rsidR="0050366D">
        <w:rPr>
          <w:rFonts w:ascii="Calibri" w:hAnsi="Calibri"/>
        </w:rPr>
        <w:tab/>
        <w:t>13</w:t>
      </w:r>
      <w:bookmarkStart w:id="0" w:name="_GoBack"/>
      <w:bookmarkEnd w:id="0"/>
    </w:p>
    <w:p w14:paraId="66DAF993" w14:textId="77777777" w:rsidR="00A446C9" w:rsidRPr="007A395D" w:rsidRDefault="0080294B" w:rsidP="006F2B88">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79A55F3B" w14:textId="77777777" w:rsidR="00CF75EC" w:rsidRPr="00C73DE1" w:rsidRDefault="00362CD9" w:rsidP="00C73DE1">
      <w:pPr>
        <w:pStyle w:val="BodyText"/>
      </w:pPr>
      <w:r w:rsidRPr="009260AA">
        <w:rPr>
          <w:lang w:val="en-US"/>
        </w:rPr>
        <w:t>Author(s)</w:t>
      </w:r>
      <w:r w:rsidR="00FE5674" w:rsidRPr="009260AA">
        <w:rPr>
          <w:lang w:val="en-US"/>
        </w:rPr>
        <w:t xml:space="preserve"> / Submitter(s)</w:t>
      </w:r>
      <w:r w:rsidRPr="009260AA">
        <w:rPr>
          <w:lang w:val="en-US"/>
        </w:rPr>
        <w:tab/>
      </w:r>
      <w:r w:rsidR="0080294B" w:rsidRPr="009260AA">
        <w:rPr>
          <w:lang w:val="en-US"/>
        </w:rPr>
        <w:tab/>
      </w:r>
      <w:r w:rsidR="00A75F4F" w:rsidRPr="00B7782D">
        <w:rPr>
          <w:lang w:val="en-US"/>
        </w:rPr>
        <w:t xml:space="preserve">Manuel López (GSA), </w:t>
      </w:r>
      <w:r w:rsidR="00C73DE1">
        <w:rPr>
          <w:lang w:val="en-US"/>
        </w:rPr>
        <w:t>Virginia Antón (ESSP), Sofía Cilla (ESSP)</w:t>
      </w:r>
    </w:p>
    <w:p w14:paraId="58434AAD" w14:textId="77777777" w:rsidR="00B7782D" w:rsidRPr="00C73DE1" w:rsidRDefault="00B7782D" w:rsidP="006F2B88">
      <w:pPr>
        <w:pStyle w:val="BodyText"/>
      </w:pPr>
    </w:p>
    <w:p w14:paraId="2894AC96" w14:textId="63A1EB84" w:rsidR="00A446C9" w:rsidRPr="00605E43" w:rsidRDefault="00C73DE1" w:rsidP="00A446C9">
      <w:pPr>
        <w:pStyle w:val="Title"/>
        <w:rPr>
          <w:rFonts w:ascii="Calibri" w:hAnsi="Calibri"/>
          <w:color w:val="0070C0"/>
        </w:rPr>
      </w:pPr>
      <w:r>
        <w:rPr>
          <w:rFonts w:ascii="Calibri" w:hAnsi="Calibri"/>
          <w:color w:val="0070C0"/>
        </w:rPr>
        <w:t xml:space="preserve">Generic </w:t>
      </w:r>
      <w:r w:rsidR="003D36E8">
        <w:rPr>
          <w:rFonts w:ascii="Calibri" w:hAnsi="Calibri"/>
          <w:color w:val="0070C0"/>
        </w:rPr>
        <w:t xml:space="preserve">Cost Analysis </w:t>
      </w:r>
      <w:r>
        <w:rPr>
          <w:rFonts w:ascii="Calibri" w:hAnsi="Calibri"/>
          <w:color w:val="0070C0"/>
        </w:rPr>
        <w:t>focused on r</w:t>
      </w:r>
      <w:r w:rsidR="00B249EB">
        <w:rPr>
          <w:rFonts w:ascii="Calibri" w:hAnsi="Calibri"/>
          <w:color w:val="0070C0"/>
        </w:rPr>
        <w:t>elevant architectures for the t</w:t>
      </w:r>
      <w:r w:rsidR="00F767FC">
        <w:rPr>
          <w:rFonts w:ascii="Calibri" w:hAnsi="Calibri"/>
          <w:color w:val="0070C0"/>
        </w:rPr>
        <w:t xml:space="preserve">ransmission of SBAS corrections over </w:t>
      </w:r>
      <w:r w:rsidR="00B249EB">
        <w:rPr>
          <w:rFonts w:ascii="Calibri" w:hAnsi="Calibri"/>
          <w:color w:val="0070C0"/>
        </w:rPr>
        <w:t xml:space="preserve">IALA beacon </w:t>
      </w:r>
      <w:r w:rsidR="005A186F">
        <w:rPr>
          <w:rFonts w:ascii="Calibri" w:hAnsi="Calibri"/>
          <w:color w:val="0070C0"/>
        </w:rPr>
        <w:t>and</w:t>
      </w:r>
      <w:r w:rsidR="00B249EB">
        <w:rPr>
          <w:rFonts w:ascii="Calibri" w:hAnsi="Calibri"/>
          <w:color w:val="0070C0"/>
        </w:rPr>
        <w:t xml:space="preserve"> AIS</w:t>
      </w:r>
    </w:p>
    <w:p w14:paraId="6AADB2E2" w14:textId="77777777" w:rsidR="00A446C9" w:rsidRPr="00605E43" w:rsidRDefault="00A446C9" w:rsidP="00605E43">
      <w:pPr>
        <w:pStyle w:val="Heading1"/>
      </w:pPr>
      <w:r w:rsidRPr="00605E43">
        <w:t>Summary</w:t>
      </w:r>
    </w:p>
    <w:p w14:paraId="24B47161" w14:textId="55D5244F" w:rsidR="0061356A" w:rsidRPr="0048565F" w:rsidRDefault="00F767FC" w:rsidP="0048565F">
      <w:pPr>
        <w:pStyle w:val="BodyText"/>
      </w:pPr>
      <w:r w:rsidRPr="00306423">
        <w:t xml:space="preserve">The </w:t>
      </w:r>
      <w:r>
        <w:t xml:space="preserve">present document </w:t>
      </w:r>
      <w:r w:rsidRPr="00306423">
        <w:t>provide</w:t>
      </w:r>
      <w:r w:rsidR="00C27D9E">
        <w:t xml:space="preserve">s the results of a generic Cost-Benefit Analysis focused on </w:t>
      </w:r>
      <w:r w:rsidR="00B249EB">
        <w:t>the most relevant</w:t>
      </w:r>
      <w:r>
        <w:t xml:space="preserve"> potential </w:t>
      </w:r>
      <w:r w:rsidR="00B249EB">
        <w:t xml:space="preserve">architectures that could be used </w:t>
      </w:r>
      <w:r w:rsidRPr="00306423">
        <w:t>to broadcast DGNSS corrections generated from the EGNOS (SBAS) message (obtained from SIS and/or EDAS) over IALA beacons</w:t>
      </w:r>
      <w:r>
        <w:t xml:space="preserve"> or AIS</w:t>
      </w:r>
      <w:r w:rsidR="00112DCB">
        <w:t xml:space="preserve">. </w:t>
      </w:r>
      <w:r w:rsidR="00C27D9E">
        <w:t xml:space="preserve">The description of the architectures which are the starting point for this </w:t>
      </w:r>
      <w:r w:rsidR="00203CE6">
        <w:t xml:space="preserve">cost analysis </w:t>
      </w:r>
      <w:r w:rsidR="00C27D9E">
        <w:t xml:space="preserve">can be found in the </w:t>
      </w:r>
      <w:r w:rsidR="00C27D9E">
        <w:rPr>
          <w:rFonts w:ascii="Calibri" w:hAnsi="Calibri"/>
        </w:rPr>
        <w:t xml:space="preserve">ENAV19-13.13 input paper </w:t>
      </w:r>
      <w:r w:rsidR="00C27D9E">
        <w:rPr>
          <w:rFonts w:ascii="Calibri" w:hAnsi="Calibri"/>
        </w:rPr>
        <w:fldChar w:fldCharType="begin"/>
      </w:r>
      <w:r w:rsidR="00C27D9E">
        <w:rPr>
          <w:rFonts w:ascii="Calibri" w:hAnsi="Calibri"/>
        </w:rPr>
        <w:instrText xml:space="preserve"> REF _Ref475008615 \r \h </w:instrText>
      </w:r>
      <w:r w:rsidR="00C27D9E">
        <w:rPr>
          <w:rFonts w:ascii="Calibri" w:hAnsi="Calibri"/>
        </w:rPr>
      </w:r>
      <w:r w:rsidR="00C27D9E">
        <w:rPr>
          <w:rFonts w:ascii="Calibri" w:hAnsi="Calibri"/>
        </w:rPr>
        <w:fldChar w:fldCharType="separate"/>
      </w:r>
      <w:r w:rsidR="00C27D9E">
        <w:rPr>
          <w:rFonts w:ascii="Calibri" w:hAnsi="Calibri"/>
        </w:rPr>
        <w:t>[1]</w:t>
      </w:r>
      <w:r w:rsidR="00C27D9E">
        <w:rPr>
          <w:rFonts w:ascii="Calibri" w:hAnsi="Calibri"/>
        </w:rPr>
        <w:fldChar w:fldCharType="end"/>
      </w:r>
      <w:r w:rsidR="00C27D9E">
        <w:rPr>
          <w:rFonts w:ascii="Calibri" w:hAnsi="Calibri"/>
        </w:rPr>
        <w:t>.</w:t>
      </w:r>
    </w:p>
    <w:p w14:paraId="396E5195" w14:textId="77777777" w:rsidR="001C44A3" w:rsidRPr="00605E43" w:rsidRDefault="00BD4E6F" w:rsidP="00605E43">
      <w:pPr>
        <w:pStyle w:val="Heading2"/>
      </w:pPr>
      <w:r w:rsidRPr="00605E43">
        <w:t>Purpose</w:t>
      </w:r>
      <w:r w:rsidR="004D1D85" w:rsidRPr="00605E43">
        <w:t xml:space="preserve"> of the document</w:t>
      </w:r>
    </w:p>
    <w:p w14:paraId="583C9592" w14:textId="65EF3B87" w:rsidR="006A34B8" w:rsidRDefault="00A92B13" w:rsidP="006F2B88">
      <w:pPr>
        <w:pStyle w:val="BodyText"/>
      </w:pPr>
      <w:r w:rsidRPr="00A92B13">
        <w:t xml:space="preserve">The </w:t>
      </w:r>
      <w:r>
        <w:t>purpose</w:t>
      </w:r>
      <w:r w:rsidRPr="00A92B13">
        <w:t xml:space="preserve"> of this document is to provide</w:t>
      </w:r>
      <w:r w:rsidR="00FA2458">
        <w:t xml:space="preserve"> the Committee members with a costs’ comparison between EGNOS-based alternate and reference scenarios. </w:t>
      </w:r>
      <w:r w:rsidR="006A34B8">
        <w:t xml:space="preserve">Committee members are invited to provide comments and those interested in a customised cost analysis can contact </w:t>
      </w:r>
      <w:r w:rsidR="003D36E8">
        <w:t>GSA/</w:t>
      </w:r>
      <w:r w:rsidR="006A34B8">
        <w:t>ESSP (mailto: EGNOS-adoption@essp-sas.eu).</w:t>
      </w:r>
    </w:p>
    <w:p w14:paraId="2742F714" w14:textId="77777777" w:rsidR="0099663A" w:rsidRPr="007A395D" w:rsidRDefault="0099663A" w:rsidP="0099663A">
      <w:pPr>
        <w:pStyle w:val="Heading1"/>
      </w:pPr>
      <w:r w:rsidRPr="007A395D">
        <w:t>References</w:t>
      </w:r>
    </w:p>
    <w:p w14:paraId="4F0D8977" w14:textId="77777777" w:rsidR="00C27D9E" w:rsidRDefault="00C27D9E" w:rsidP="00C27D9E">
      <w:pPr>
        <w:pStyle w:val="References"/>
        <w:rPr>
          <w:rFonts w:ascii="Calibri" w:hAnsi="Calibri"/>
        </w:rPr>
      </w:pPr>
      <w:bookmarkStart w:id="1" w:name="_Ref475008615"/>
      <w:r>
        <w:rPr>
          <w:rFonts w:ascii="Calibri" w:hAnsi="Calibri"/>
        </w:rPr>
        <w:t xml:space="preserve">ENAV19-13.13 </w:t>
      </w:r>
      <w:r w:rsidRPr="00C27D9E">
        <w:rPr>
          <w:rFonts w:ascii="Calibri" w:hAnsi="Calibri"/>
        </w:rPr>
        <w:t>Relevant architectures for the transmission of SBAS corrections over existing maritime AtoN - two cases studies: IALA beacon and AIS</w:t>
      </w:r>
      <w:bookmarkEnd w:id="1"/>
      <w:r w:rsidRPr="00C27D9E">
        <w:rPr>
          <w:rFonts w:ascii="Calibri" w:hAnsi="Calibri"/>
        </w:rPr>
        <w:t xml:space="preserve"> </w:t>
      </w:r>
    </w:p>
    <w:p w14:paraId="555F73D8" w14:textId="77777777" w:rsidR="00240DAE" w:rsidRDefault="00B249EB" w:rsidP="00C27D9E">
      <w:pPr>
        <w:pStyle w:val="References"/>
        <w:rPr>
          <w:rFonts w:ascii="Calibri" w:hAnsi="Calibri"/>
        </w:rPr>
      </w:pPr>
      <w:r>
        <w:rPr>
          <w:rFonts w:ascii="Calibri" w:hAnsi="Calibri"/>
        </w:rPr>
        <w:t>ENAV18-13.16 Transmission of SBAS corrections over AIS</w:t>
      </w:r>
    </w:p>
    <w:p w14:paraId="49EC0899" w14:textId="77777777" w:rsidR="00B249EB" w:rsidRDefault="00B249EB" w:rsidP="00B249EB">
      <w:pPr>
        <w:pStyle w:val="References"/>
        <w:rPr>
          <w:rFonts w:ascii="Calibri" w:hAnsi="Calibri"/>
        </w:rPr>
      </w:pPr>
      <w:r w:rsidRPr="007A395D">
        <w:rPr>
          <w:rFonts w:ascii="Calibri" w:hAnsi="Calibri"/>
        </w:rPr>
        <w:t>ENAV18-</w:t>
      </w:r>
      <w:r>
        <w:rPr>
          <w:rFonts w:ascii="Calibri" w:hAnsi="Calibri"/>
        </w:rPr>
        <w:t>13.20 Transmission of SBAS c</w:t>
      </w:r>
      <w:r w:rsidRPr="00B249EB">
        <w:rPr>
          <w:rFonts w:ascii="Calibri" w:hAnsi="Calibri"/>
        </w:rPr>
        <w:t>orrections</w:t>
      </w:r>
      <w:r>
        <w:rPr>
          <w:rFonts w:ascii="Calibri" w:hAnsi="Calibri"/>
        </w:rPr>
        <w:t xml:space="preserve"> </w:t>
      </w:r>
      <w:r w:rsidRPr="00B249EB">
        <w:rPr>
          <w:rFonts w:ascii="Calibri" w:hAnsi="Calibri"/>
        </w:rPr>
        <w:t>over</w:t>
      </w:r>
      <w:r>
        <w:rPr>
          <w:rFonts w:ascii="Calibri" w:hAnsi="Calibri"/>
        </w:rPr>
        <w:t xml:space="preserve"> IALA </w:t>
      </w:r>
      <w:r w:rsidRPr="00B249EB">
        <w:rPr>
          <w:rFonts w:ascii="Calibri" w:hAnsi="Calibri"/>
        </w:rPr>
        <w:t>beacons</w:t>
      </w:r>
    </w:p>
    <w:p w14:paraId="7F12BB55" w14:textId="77777777" w:rsidR="00EC293C" w:rsidRDefault="00EC293C" w:rsidP="00B249EB">
      <w:pPr>
        <w:pStyle w:val="References"/>
        <w:rPr>
          <w:rFonts w:ascii="Calibri" w:hAnsi="Calibri"/>
        </w:rPr>
      </w:pPr>
      <w:bookmarkStart w:id="2" w:name="_Ref455583383"/>
      <w:r w:rsidRPr="00EC293C">
        <w:rPr>
          <w:rFonts w:ascii="Calibri" w:hAnsi="Calibri"/>
        </w:rPr>
        <w:t>IMO Resolution A.1046 (27), November 2011.</w:t>
      </w:r>
      <w:bookmarkEnd w:id="2"/>
    </w:p>
    <w:p w14:paraId="0CA99F59" w14:textId="77777777" w:rsidR="00E80720" w:rsidRDefault="00E80720" w:rsidP="00B249EB">
      <w:pPr>
        <w:pStyle w:val="References"/>
        <w:rPr>
          <w:rFonts w:ascii="Calibri" w:hAnsi="Calibri"/>
        </w:rPr>
      </w:pPr>
      <w:bookmarkStart w:id="3" w:name="_Ref455668049"/>
      <w:r w:rsidRPr="00E80720">
        <w:rPr>
          <w:rFonts w:ascii="Calibri" w:hAnsi="Calibri"/>
        </w:rPr>
        <w:t>RTCM 10402.3 Recommended Standards For Differential GNSS services, August 20, 2001</w:t>
      </w:r>
      <w:bookmarkEnd w:id="3"/>
    </w:p>
    <w:p w14:paraId="6252C95C" w14:textId="77777777" w:rsidR="00B85275" w:rsidRDefault="00B85275" w:rsidP="00B249EB">
      <w:pPr>
        <w:pStyle w:val="References"/>
        <w:rPr>
          <w:rFonts w:ascii="Calibri" w:hAnsi="Calibri"/>
        </w:rPr>
      </w:pPr>
      <w:bookmarkStart w:id="4" w:name="_Ref456088252"/>
      <w:r w:rsidRPr="00140F15">
        <w:rPr>
          <w:rFonts w:ascii="Calibri" w:hAnsi="Calibri"/>
        </w:rPr>
        <w:t>IALA Guideline 1112, Performance and Monitoring of DGNSS Services in the Frequency Band 283.5 – 325 kHz, Edition 1, May 2015</w:t>
      </w:r>
      <w:bookmarkEnd w:id="4"/>
    </w:p>
    <w:p w14:paraId="1D03B8D3" w14:textId="77777777" w:rsidR="00AB1FFC" w:rsidRDefault="00AB1FFC" w:rsidP="00B249EB">
      <w:pPr>
        <w:pStyle w:val="References"/>
        <w:rPr>
          <w:rFonts w:ascii="Calibri" w:hAnsi="Calibri"/>
        </w:rPr>
      </w:pPr>
      <w:r w:rsidRPr="00AB1FFC">
        <w:rPr>
          <w:rFonts w:ascii="Calibri" w:hAnsi="Calibri"/>
        </w:rPr>
        <w:t>IALA Recommendation A-124 Appendix 16 – DGNSS Broadcasts from an AIS Service</w:t>
      </w:r>
    </w:p>
    <w:p w14:paraId="32D6276F" w14:textId="77777777" w:rsidR="00B7782D" w:rsidRPr="002524AB" w:rsidRDefault="00B7782D" w:rsidP="00B249EB">
      <w:pPr>
        <w:pStyle w:val="References"/>
        <w:rPr>
          <w:rFonts w:ascii="Calibri" w:hAnsi="Calibri"/>
        </w:rPr>
      </w:pPr>
      <w:bookmarkStart w:id="5" w:name="_Ref459272632"/>
      <w:r w:rsidRPr="00B7782D">
        <w:rPr>
          <w:rFonts w:ascii="Calibri" w:hAnsi="Calibri"/>
        </w:rPr>
        <w:t>IALA Guidelines On Ship-Borne Automatic Identification System (AIS) Volume I Part Ii: Technical Aspects Of AIS, Edition 1.1, December 2002</w:t>
      </w:r>
      <w:bookmarkEnd w:id="5"/>
    </w:p>
    <w:p w14:paraId="5CB38A50" w14:textId="77777777" w:rsidR="00A446C9" w:rsidRPr="007A395D" w:rsidRDefault="00A446C9" w:rsidP="00605E43">
      <w:pPr>
        <w:pStyle w:val="Heading1"/>
      </w:pPr>
      <w:r w:rsidRPr="007A395D">
        <w:lastRenderedPageBreak/>
        <w:t>Action requested of the Committee</w:t>
      </w:r>
    </w:p>
    <w:p w14:paraId="6ECE19B8" w14:textId="77777777" w:rsidR="003B3763" w:rsidRPr="007A395D" w:rsidRDefault="00B960B0" w:rsidP="00CF75EC">
      <w:pPr>
        <w:spacing w:after="120"/>
        <w:jc w:val="both"/>
        <w:rPr>
          <w:rFonts w:ascii="Calibri" w:hAnsi="Calibri"/>
        </w:rPr>
      </w:pPr>
      <w:r w:rsidRPr="007A395D">
        <w:rPr>
          <w:rFonts w:ascii="Calibri" w:hAnsi="Calibri"/>
        </w:rPr>
        <w:t xml:space="preserve">The Committee is </w:t>
      </w:r>
      <w:r>
        <w:rPr>
          <w:rFonts w:ascii="Calibri" w:hAnsi="Calibri"/>
        </w:rPr>
        <w:t xml:space="preserve">invited </w:t>
      </w:r>
      <w:r w:rsidRPr="00437F9D">
        <w:rPr>
          <w:rFonts w:ascii="Calibri" w:hAnsi="Calibri"/>
        </w:rPr>
        <w:t>to consider the information provided in the Annex</w:t>
      </w:r>
      <w:r w:rsidR="0037670B">
        <w:t>.</w:t>
      </w:r>
      <w:r w:rsidR="0048565F">
        <w:t xml:space="preserve"> </w:t>
      </w:r>
    </w:p>
    <w:p w14:paraId="73BD8EF1" w14:textId="77777777" w:rsidR="004D1D85" w:rsidRPr="007A395D" w:rsidRDefault="004D1D85" w:rsidP="00605E43">
      <w:pPr>
        <w:pStyle w:val="Annex"/>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14:paraId="4A21B15B" w14:textId="62D7B461" w:rsidR="006A7680" w:rsidRPr="006A7680" w:rsidRDefault="00A97EDC" w:rsidP="00C348D0">
      <w:pPr>
        <w:pStyle w:val="Annex"/>
        <w:numPr>
          <w:ilvl w:val="0"/>
          <w:numId w:val="15"/>
        </w:numPr>
        <w:rPr>
          <w:color w:val="4F81BD" w:themeColor="accent1"/>
        </w:rPr>
      </w:pPr>
      <w:r w:rsidRPr="006A7680">
        <w:rPr>
          <w:color w:val="4F81BD" w:themeColor="accent1"/>
        </w:rPr>
        <w:lastRenderedPageBreak/>
        <w:t>ANNEX</w:t>
      </w:r>
      <w:r w:rsidR="00965950" w:rsidRPr="006A7680">
        <w:rPr>
          <w:color w:val="4F81BD" w:themeColor="accent1"/>
        </w:rPr>
        <w:t xml:space="preserve"> 1</w:t>
      </w:r>
      <w:r w:rsidRPr="006A7680">
        <w:rPr>
          <w:color w:val="4F81BD" w:themeColor="accent1"/>
        </w:rPr>
        <w:t xml:space="preserve">: </w:t>
      </w:r>
      <w:bookmarkStart w:id="6" w:name="_Toc65318733"/>
      <w:r w:rsidR="00A92B13" w:rsidRPr="00A92B13">
        <w:rPr>
          <w:color w:val="4F81BD" w:themeColor="accent1"/>
        </w:rPr>
        <w:t xml:space="preserve">Generic </w:t>
      </w:r>
      <w:r w:rsidR="003D36E8" w:rsidRPr="00A92B13">
        <w:rPr>
          <w:color w:val="4F81BD" w:themeColor="accent1"/>
        </w:rPr>
        <w:t>C</w:t>
      </w:r>
      <w:r w:rsidR="003D36E8">
        <w:rPr>
          <w:color w:val="4F81BD" w:themeColor="accent1"/>
        </w:rPr>
        <w:t>Ost analysis</w:t>
      </w:r>
      <w:r w:rsidR="003D36E8" w:rsidRPr="00A92B13">
        <w:rPr>
          <w:color w:val="4F81BD" w:themeColor="accent1"/>
        </w:rPr>
        <w:t xml:space="preserve"> </w:t>
      </w:r>
      <w:r w:rsidR="00A92B13" w:rsidRPr="00A92B13">
        <w:rPr>
          <w:color w:val="4F81BD" w:themeColor="accent1"/>
        </w:rPr>
        <w:t>focused on relevant architectures for the transmission of SBAS corrections over IALA beacon and AIS</w:t>
      </w:r>
    </w:p>
    <w:p w14:paraId="099DC901" w14:textId="77777777" w:rsidR="00A92B13" w:rsidRDefault="00A92B13" w:rsidP="00FE0FFF">
      <w:pPr>
        <w:pStyle w:val="BodyText"/>
      </w:pPr>
      <w:r>
        <w:t>The present document pro</w:t>
      </w:r>
      <w:r w:rsidR="006A34B8">
        <w:t>vides the results of a generic c</w:t>
      </w:r>
      <w:r>
        <w:t xml:space="preserve">ost </w:t>
      </w:r>
      <w:r w:rsidR="006A34B8">
        <w:t>a</w:t>
      </w:r>
      <w:r>
        <w:t xml:space="preserve">nalysis focused on the most relevant potential architectures that could be used </w:t>
      </w:r>
      <w:r w:rsidRPr="00306423">
        <w:t>to broadcast DGNSS corrections generated from the EGNOS (SBAS) message (obtained from SIS and/or EDAS) over IALA beacons</w:t>
      </w:r>
      <w:r>
        <w:t xml:space="preserve"> or AIS. </w:t>
      </w:r>
    </w:p>
    <w:p w14:paraId="0534CFC8" w14:textId="082FCC53" w:rsidR="00A92B13" w:rsidRPr="000026F6" w:rsidRDefault="00A92B13" w:rsidP="00A92B13">
      <w:pPr>
        <w:pStyle w:val="BodyText"/>
      </w:pPr>
      <w:r w:rsidRPr="000026F6">
        <w:t xml:space="preserve">This </w:t>
      </w:r>
      <w:r w:rsidR="003D36E8">
        <w:t>paper is organised</w:t>
      </w:r>
      <w:r w:rsidRPr="000026F6">
        <w:t xml:space="preserve"> as follows:</w:t>
      </w:r>
    </w:p>
    <w:p w14:paraId="5613E9C5" w14:textId="77777777" w:rsidR="00F52B47" w:rsidRPr="00F52B47" w:rsidRDefault="00A92B13" w:rsidP="00C348D0">
      <w:pPr>
        <w:pStyle w:val="Bullet1"/>
        <w:numPr>
          <w:ilvl w:val="0"/>
          <w:numId w:val="12"/>
        </w:numPr>
        <w:ind w:left="1134" w:hanging="567"/>
        <w:rPr>
          <w:rFonts w:ascii="Calibri" w:hAnsi="Calibri"/>
        </w:rPr>
      </w:pPr>
      <w:r>
        <w:rPr>
          <w:rFonts w:ascii="Calibri" w:hAnsi="Calibri"/>
        </w:rPr>
        <w:t>Section 1:</w:t>
      </w:r>
      <w:r w:rsidR="00F52B47">
        <w:rPr>
          <w:rFonts w:ascii="Calibri" w:hAnsi="Calibri"/>
        </w:rPr>
        <w:t xml:space="preserve"> Description of the methodology </w:t>
      </w:r>
      <w:r w:rsidR="00260F08">
        <w:rPr>
          <w:rFonts w:ascii="Calibri" w:hAnsi="Calibri"/>
        </w:rPr>
        <w:t xml:space="preserve">and main assumptions </w:t>
      </w:r>
      <w:r w:rsidR="00F52B47">
        <w:rPr>
          <w:rFonts w:ascii="Calibri" w:hAnsi="Calibri"/>
        </w:rPr>
        <w:t>to implement the</w:t>
      </w:r>
      <w:r w:rsidR="00F52B47" w:rsidRPr="00F52B47">
        <w:rPr>
          <w:rFonts w:ascii="Calibri" w:hAnsi="Calibri"/>
        </w:rPr>
        <w:t xml:space="preserve"> generic costs assessment for an AtoN provider</w:t>
      </w:r>
      <w:r w:rsidR="00F52B47">
        <w:rPr>
          <w:rFonts w:ascii="Calibri" w:hAnsi="Calibri"/>
        </w:rPr>
        <w:t>.</w:t>
      </w:r>
    </w:p>
    <w:p w14:paraId="54FC1AA8" w14:textId="77777777" w:rsidR="00A92B13" w:rsidRPr="006A7680" w:rsidRDefault="00A92B13" w:rsidP="00C348D0">
      <w:pPr>
        <w:pStyle w:val="Bullet1"/>
        <w:numPr>
          <w:ilvl w:val="0"/>
          <w:numId w:val="12"/>
        </w:numPr>
        <w:ind w:left="1134" w:hanging="567"/>
        <w:rPr>
          <w:rFonts w:ascii="Calibri" w:hAnsi="Calibri"/>
        </w:rPr>
      </w:pPr>
      <w:r>
        <w:rPr>
          <w:rFonts w:ascii="Calibri" w:hAnsi="Calibri"/>
        </w:rPr>
        <w:t>Section 2</w:t>
      </w:r>
      <w:r w:rsidRPr="006A7680">
        <w:rPr>
          <w:rFonts w:ascii="Calibri" w:hAnsi="Calibri"/>
        </w:rPr>
        <w:t xml:space="preserve">: </w:t>
      </w:r>
      <w:r w:rsidR="00F52B47">
        <w:rPr>
          <w:rFonts w:ascii="Calibri" w:hAnsi="Calibri"/>
        </w:rPr>
        <w:t>Overview</w:t>
      </w:r>
      <w:r w:rsidRPr="006A7680">
        <w:rPr>
          <w:rFonts w:ascii="Calibri" w:hAnsi="Calibri"/>
        </w:rPr>
        <w:t xml:space="preserve"> of the most relevant </w:t>
      </w:r>
      <w:r w:rsidR="00F52B47">
        <w:rPr>
          <w:rFonts w:ascii="Calibri" w:hAnsi="Calibri"/>
        </w:rPr>
        <w:t xml:space="preserve">outcomes of the generic cost assessment </w:t>
      </w:r>
      <w:r w:rsidRPr="006A7680">
        <w:rPr>
          <w:rFonts w:ascii="Calibri" w:hAnsi="Calibri"/>
        </w:rPr>
        <w:t>for the transmission of SBAS c</w:t>
      </w:r>
      <w:r>
        <w:rPr>
          <w:rFonts w:ascii="Calibri" w:hAnsi="Calibri"/>
        </w:rPr>
        <w:t>orrections over IALA beacons</w:t>
      </w:r>
      <w:r w:rsidRPr="006A7680">
        <w:rPr>
          <w:rFonts w:ascii="Calibri" w:hAnsi="Calibri"/>
        </w:rPr>
        <w:t>.</w:t>
      </w:r>
    </w:p>
    <w:p w14:paraId="6697950B" w14:textId="0215FCB8" w:rsidR="00A92B13" w:rsidRDefault="00A92B13" w:rsidP="00C348D0">
      <w:pPr>
        <w:pStyle w:val="Bullet1"/>
        <w:numPr>
          <w:ilvl w:val="0"/>
          <w:numId w:val="12"/>
        </w:numPr>
        <w:ind w:left="1134" w:hanging="567"/>
        <w:rPr>
          <w:rFonts w:ascii="Calibri" w:hAnsi="Calibri"/>
        </w:rPr>
      </w:pPr>
      <w:r>
        <w:rPr>
          <w:rFonts w:ascii="Calibri" w:hAnsi="Calibri"/>
        </w:rPr>
        <w:t xml:space="preserve">Section 3: </w:t>
      </w:r>
      <w:r w:rsidR="00F52B47">
        <w:rPr>
          <w:rFonts w:ascii="Calibri" w:hAnsi="Calibri"/>
        </w:rPr>
        <w:t>Overview</w:t>
      </w:r>
      <w:r w:rsidR="00F52B47" w:rsidRPr="006A7680">
        <w:rPr>
          <w:rFonts w:ascii="Calibri" w:hAnsi="Calibri"/>
        </w:rPr>
        <w:t xml:space="preserve"> of the most relevant </w:t>
      </w:r>
      <w:r w:rsidR="00F52B47">
        <w:rPr>
          <w:rFonts w:ascii="Calibri" w:hAnsi="Calibri"/>
        </w:rPr>
        <w:t xml:space="preserve">outcomes of the generic cost assessment </w:t>
      </w:r>
      <w:r w:rsidR="00F52B47" w:rsidRPr="006A7680">
        <w:rPr>
          <w:rFonts w:ascii="Calibri" w:hAnsi="Calibri"/>
        </w:rPr>
        <w:t xml:space="preserve">for </w:t>
      </w:r>
      <w:r w:rsidRPr="006A7680">
        <w:rPr>
          <w:rFonts w:ascii="Calibri" w:hAnsi="Calibri"/>
        </w:rPr>
        <w:t>the transmissio</w:t>
      </w:r>
      <w:r>
        <w:rPr>
          <w:rFonts w:ascii="Calibri" w:hAnsi="Calibri"/>
        </w:rPr>
        <w:t xml:space="preserve">n of SBAS corrections over </w:t>
      </w:r>
      <w:r w:rsidRPr="006A7680">
        <w:rPr>
          <w:rFonts w:ascii="Calibri" w:hAnsi="Calibri"/>
        </w:rPr>
        <w:t>AIS</w:t>
      </w:r>
      <w:r w:rsidR="003D36E8">
        <w:rPr>
          <w:rFonts w:ascii="Calibri" w:hAnsi="Calibri"/>
        </w:rPr>
        <w:t xml:space="preserve"> stations</w:t>
      </w:r>
      <w:r w:rsidRPr="006A7680">
        <w:rPr>
          <w:rFonts w:ascii="Calibri" w:hAnsi="Calibri"/>
        </w:rPr>
        <w:t>.</w:t>
      </w:r>
    </w:p>
    <w:p w14:paraId="62329985" w14:textId="4A386C4A" w:rsidR="001F0A5D" w:rsidRDefault="001F0A5D" w:rsidP="00C348D0">
      <w:pPr>
        <w:pStyle w:val="Bullet1"/>
        <w:numPr>
          <w:ilvl w:val="0"/>
          <w:numId w:val="12"/>
        </w:numPr>
        <w:ind w:left="1134" w:hanging="567"/>
        <w:rPr>
          <w:rFonts w:ascii="Calibri" w:hAnsi="Calibri"/>
        </w:rPr>
      </w:pPr>
      <w:r>
        <w:rPr>
          <w:rFonts w:ascii="Calibri" w:hAnsi="Calibri"/>
        </w:rPr>
        <w:t>Section 4: Conclusions.</w:t>
      </w:r>
    </w:p>
    <w:p w14:paraId="603DA40E" w14:textId="77777777" w:rsidR="00C04D23" w:rsidRDefault="00C04D23" w:rsidP="00C04D23">
      <w:pPr>
        <w:pStyle w:val="BodyText"/>
      </w:pPr>
      <w:r>
        <w:t>The typical IALA DGNSS and AIS architectures, based on current deployments and recommendations, are referred to as “Reference scenario”. The EGNOS-based architectures are referred to as “Alternate scenarios” along the document.</w:t>
      </w:r>
      <w:r w:rsidRPr="00C04D23">
        <w:t xml:space="preserve"> </w:t>
      </w:r>
      <w:r>
        <w:t>T</w:t>
      </w:r>
      <w:r w:rsidRPr="00A92B13">
        <w:t xml:space="preserve">he </w:t>
      </w:r>
      <w:r>
        <w:rPr>
          <w:rFonts w:ascii="Calibri" w:hAnsi="Calibri"/>
        </w:rPr>
        <w:t xml:space="preserve">ENAV19-13.13 input paper </w:t>
      </w:r>
      <w:r>
        <w:rPr>
          <w:rFonts w:ascii="Calibri" w:hAnsi="Calibri"/>
        </w:rPr>
        <w:fldChar w:fldCharType="begin"/>
      </w:r>
      <w:r>
        <w:rPr>
          <w:rFonts w:ascii="Calibri" w:hAnsi="Calibri"/>
        </w:rPr>
        <w:instrText xml:space="preserve"> REF _Ref475008615 \r \h </w:instrText>
      </w:r>
      <w:r>
        <w:rPr>
          <w:rFonts w:ascii="Calibri" w:hAnsi="Calibri"/>
        </w:rPr>
      </w:r>
      <w:r>
        <w:rPr>
          <w:rFonts w:ascii="Calibri" w:hAnsi="Calibri"/>
        </w:rPr>
        <w:fldChar w:fldCharType="separate"/>
      </w:r>
      <w:r>
        <w:rPr>
          <w:rFonts w:ascii="Calibri" w:hAnsi="Calibri"/>
        </w:rPr>
        <w:t>[1]</w:t>
      </w:r>
      <w:r>
        <w:rPr>
          <w:rFonts w:ascii="Calibri" w:hAnsi="Calibri"/>
        </w:rPr>
        <w:fldChar w:fldCharType="end"/>
      </w:r>
      <w:r>
        <w:rPr>
          <w:rFonts w:ascii="Calibri" w:hAnsi="Calibri"/>
        </w:rPr>
        <w:t xml:space="preserve"> </w:t>
      </w:r>
      <w:r>
        <w:t>has to be taken</w:t>
      </w:r>
      <w:r w:rsidRPr="00A92B13">
        <w:t xml:space="preserve"> as reference material and should be consulted for further information</w:t>
      </w:r>
      <w:r>
        <w:t xml:space="preserve"> on these architectures</w:t>
      </w:r>
      <w:r w:rsidRPr="00A92B13">
        <w:t>.</w:t>
      </w:r>
    </w:p>
    <w:p w14:paraId="37CB9DDB" w14:textId="747F1BF8" w:rsidR="009E5AD7" w:rsidRDefault="00C04D23" w:rsidP="009E5AD7">
      <w:pPr>
        <w:pStyle w:val="BodyText"/>
      </w:pPr>
      <w:r>
        <w:t>It is important to note that the costs of the different infrastructures</w:t>
      </w:r>
      <w:r w:rsidR="00C052D8">
        <w:t>,</w:t>
      </w:r>
      <w:r>
        <w:t xml:space="preserve"> used to obtain the results shown in this generic analysis</w:t>
      </w:r>
      <w:r w:rsidR="00C052D8">
        <w:t>,</w:t>
      </w:r>
      <w:r>
        <w:t xml:space="preserve"> are based on ESSP research information</w:t>
      </w:r>
      <w:r w:rsidR="009E5AD7">
        <w:t xml:space="preserve"> and assumptions; they</w:t>
      </w:r>
      <w:r>
        <w:t xml:space="preserve"> have to be considered as an example to get the costs differences</w:t>
      </w:r>
      <w:r w:rsidR="009E5AD7">
        <w:t xml:space="preserve"> between different alternatives</w:t>
      </w:r>
      <w:r>
        <w:t xml:space="preserve">. </w:t>
      </w:r>
      <w:r w:rsidR="009E5AD7">
        <w:t>To be also noted that p</w:t>
      </w:r>
      <w:r>
        <w:t xml:space="preserve">rocurement and running costs vary from one country to another and even from one network to another. </w:t>
      </w:r>
      <w:r w:rsidR="009E5AD7">
        <w:t>Therefore, it is essential</w:t>
      </w:r>
      <w:r w:rsidR="00636B1F">
        <w:t xml:space="preserve"> not to take this information as “absolute” estimations, </w:t>
      </w:r>
      <w:r w:rsidR="00206B64">
        <w:t>those interested in having a</w:t>
      </w:r>
      <w:r w:rsidR="00636B1F">
        <w:t xml:space="preserve"> particular estimation</w:t>
      </w:r>
      <w:r w:rsidR="009E5AD7">
        <w:t xml:space="preserve"> </w:t>
      </w:r>
      <w:r w:rsidR="00206B64">
        <w:t xml:space="preserve">are recommended </w:t>
      </w:r>
      <w:r w:rsidR="009E5AD7">
        <w:t xml:space="preserve">to validate the costs with the concerned stakeholders and to particularise them to specific situations through customised costs analysis. </w:t>
      </w:r>
      <w:r w:rsidR="003D36E8">
        <w:t>In this sense, GSA/ESSP offers the maritime authorities the possibility to perform such a bespoke analysis for free.</w:t>
      </w:r>
    </w:p>
    <w:p w14:paraId="19739C33" w14:textId="77777777" w:rsidR="00C04D23" w:rsidRDefault="00C04D23" w:rsidP="00C04D23">
      <w:pPr>
        <w:pStyle w:val="BodyText"/>
      </w:pPr>
      <w:r>
        <w:t>As an overall summary of the preliminary assessment done in this document, there are some cases where EGNOS-based alternatives could be introduced in IALA DGNSS and AIS systems in a cost-effective way and transparent to the final users (</w:t>
      </w:r>
      <w:r w:rsidR="00636B1F">
        <w:t>as t</w:t>
      </w:r>
      <w:r w:rsidR="00206B64">
        <w:t xml:space="preserve">he signal transmitted by those </w:t>
      </w:r>
      <w:r w:rsidR="00636B1F">
        <w:t xml:space="preserve">new proposed architectures are </w:t>
      </w:r>
      <w:r>
        <w:t>absolutely compatible with the user equipment already installed onboard the vessels).</w:t>
      </w:r>
    </w:p>
    <w:p w14:paraId="033C0881" w14:textId="2CBE52E3" w:rsidR="00C04D23" w:rsidRDefault="00C04D23" w:rsidP="00C04D23">
      <w:pPr>
        <w:pStyle w:val="BodyText"/>
      </w:pPr>
      <w:r>
        <w:t xml:space="preserve">As described through this document, there are several possibilities and configurations which could bring cost </w:t>
      </w:r>
      <w:r w:rsidR="008845C3">
        <w:t xml:space="preserve">savings </w:t>
      </w:r>
      <w:r>
        <w:t>in the short term, mainly due to the rationalization of part of the current infrastructure and the subsequent reduction in the operational expenditures. At the same time, these alternatives could respond to potential obsolescence issues.</w:t>
      </w:r>
      <w:r w:rsidR="005938B5">
        <w:t xml:space="preserve"> </w:t>
      </w:r>
      <w:r w:rsidRPr="00C04D23">
        <w:t>Obviously, it is recommended to assess which specific parts of the infrastructure could be reused, potential benefits of each proposal and other issues related with the architecture, prior to choose an alternative based only on potential savings.</w:t>
      </w:r>
    </w:p>
    <w:p w14:paraId="311EE447" w14:textId="77777777" w:rsidR="00C04D23" w:rsidRDefault="00C04D23" w:rsidP="00C04D23">
      <w:pPr>
        <w:pStyle w:val="BodyText"/>
      </w:pPr>
    </w:p>
    <w:p w14:paraId="0928401B" w14:textId="77777777" w:rsidR="000E355C" w:rsidRDefault="000E355C" w:rsidP="00ED711C">
      <w:pPr>
        <w:pStyle w:val="AnnexHeading1"/>
      </w:pPr>
      <w:bookmarkStart w:id="7" w:name="_Toc449627781"/>
      <w:bookmarkStart w:id="8" w:name="_Ref434400435"/>
      <w:bookmarkStart w:id="9" w:name="_Toc450116875"/>
      <w:bookmarkEnd w:id="6"/>
      <w:r>
        <w:t>Methodology Description</w:t>
      </w:r>
    </w:p>
    <w:p w14:paraId="682FFAC9" w14:textId="77777777" w:rsidR="00155EC5" w:rsidRDefault="00155EC5" w:rsidP="00155EC5">
      <w:pPr>
        <w:pStyle w:val="BodyText"/>
      </w:pPr>
      <w:r>
        <w:t>The methodology to implement this generic costs assessment for an AtoN provider consisted of the following steps:</w:t>
      </w:r>
    </w:p>
    <w:p w14:paraId="13B4ECF4" w14:textId="77777777" w:rsidR="00155EC5" w:rsidRDefault="00155EC5" w:rsidP="00C348D0">
      <w:pPr>
        <w:pStyle w:val="BodyText"/>
        <w:numPr>
          <w:ilvl w:val="0"/>
          <w:numId w:val="21"/>
        </w:numPr>
      </w:pPr>
      <w:r>
        <w:t>Identify the “reference” (current) and “alternate” (EGNOS-based proposal) scenarios.</w:t>
      </w:r>
    </w:p>
    <w:p w14:paraId="1EF310C1" w14:textId="77777777" w:rsidR="00155EC5" w:rsidRDefault="00155EC5" w:rsidP="00C348D0">
      <w:pPr>
        <w:pStyle w:val="BodyText"/>
        <w:numPr>
          <w:ilvl w:val="0"/>
          <w:numId w:val="21"/>
        </w:numPr>
      </w:pPr>
      <w:r>
        <w:t xml:space="preserve">Set the hypotheses for the assessment. </w:t>
      </w:r>
    </w:p>
    <w:p w14:paraId="6DD673DC" w14:textId="77777777" w:rsidR="00155EC5" w:rsidRDefault="00155EC5" w:rsidP="00C348D0">
      <w:pPr>
        <w:pStyle w:val="BodyText"/>
        <w:numPr>
          <w:ilvl w:val="0"/>
          <w:numId w:val="21"/>
        </w:numPr>
      </w:pPr>
      <w:r>
        <w:t>Identify the costs applicable in both reference and alternate scenarios, focussing on the difference.</w:t>
      </w:r>
    </w:p>
    <w:p w14:paraId="57279E28" w14:textId="77777777" w:rsidR="00155EC5" w:rsidRDefault="00155EC5" w:rsidP="00C348D0">
      <w:pPr>
        <w:pStyle w:val="BodyText"/>
        <w:numPr>
          <w:ilvl w:val="0"/>
          <w:numId w:val="21"/>
        </w:numPr>
      </w:pPr>
      <w:r>
        <w:t>Make an economic analysis of the different proposals.</w:t>
      </w:r>
    </w:p>
    <w:p w14:paraId="25EB3947" w14:textId="77777777" w:rsidR="005938B5" w:rsidRDefault="00155EC5" w:rsidP="005938B5">
      <w:pPr>
        <w:pStyle w:val="BodyText"/>
        <w:numPr>
          <w:ilvl w:val="0"/>
          <w:numId w:val="21"/>
        </w:numPr>
      </w:pPr>
      <w:r>
        <w:t>Draft conclusions.</w:t>
      </w:r>
    </w:p>
    <w:p w14:paraId="4C011CFA" w14:textId="77777777" w:rsidR="005938B5" w:rsidRDefault="005938B5" w:rsidP="005938B5">
      <w:pPr>
        <w:pStyle w:val="BodyText"/>
      </w:pPr>
    </w:p>
    <w:p w14:paraId="61C187E6" w14:textId="77777777" w:rsidR="00155EC5" w:rsidRPr="00072409" w:rsidRDefault="00072409" w:rsidP="00C348D0">
      <w:pPr>
        <w:pStyle w:val="AnnexHeading1"/>
        <w:numPr>
          <w:ilvl w:val="1"/>
          <w:numId w:val="16"/>
        </w:numPr>
      </w:pPr>
      <w:r w:rsidRPr="00072409">
        <w:t>Common assumptions and definitions</w:t>
      </w:r>
    </w:p>
    <w:p w14:paraId="58875DAB" w14:textId="77777777" w:rsidR="00155EC5" w:rsidRPr="00155EC5" w:rsidRDefault="00155EC5" w:rsidP="00155EC5">
      <w:pPr>
        <w:spacing w:after="120"/>
        <w:jc w:val="both"/>
        <w:rPr>
          <w:rFonts w:asciiTheme="minorHAnsi" w:eastAsia="Times New Roman" w:hAnsiTheme="minorHAnsi" w:cs="Times New Roman"/>
          <w:lang w:val="en-US" w:eastAsia="en-US"/>
        </w:rPr>
      </w:pPr>
      <w:r w:rsidRPr="00155EC5">
        <w:rPr>
          <w:rFonts w:asciiTheme="minorHAnsi" w:eastAsia="Times New Roman" w:hAnsiTheme="minorHAnsi" w:cs="Times New Roman"/>
          <w:u w:val="single"/>
          <w:lang w:val="en-US" w:eastAsia="en-US"/>
        </w:rPr>
        <w:t>Reference scenario</w:t>
      </w:r>
      <w:r w:rsidRPr="00155EC5">
        <w:rPr>
          <w:rFonts w:asciiTheme="minorHAnsi" w:eastAsia="Times New Roman" w:hAnsiTheme="minorHAnsi" w:cs="Times New Roman"/>
          <w:lang w:val="en-US" w:eastAsia="en-US"/>
        </w:rPr>
        <w:t>:</w:t>
      </w:r>
    </w:p>
    <w:p w14:paraId="5C213E2A" w14:textId="77777777" w:rsidR="00155EC5" w:rsidRPr="00155EC5" w:rsidRDefault="00072409" w:rsidP="00C348D0">
      <w:pPr>
        <w:numPr>
          <w:ilvl w:val="0"/>
          <w:numId w:val="23"/>
        </w:numPr>
        <w:spacing w:after="120"/>
        <w:jc w:val="both"/>
        <w:rPr>
          <w:rFonts w:asciiTheme="minorHAnsi" w:eastAsia="Times New Roman" w:hAnsiTheme="minorHAnsi" w:cs="Times New Roman"/>
          <w:lang w:val="en-US" w:eastAsia="en-US"/>
        </w:rPr>
      </w:pPr>
      <w:r>
        <w:rPr>
          <w:rFonts w:asciiTheme="minorHAnsi" w:eastAsia="Times New Roman" w:hAnsiTheme="minorHAnsi" w:cs="Times New Roman"/>
          <w:lang w:val="en-US" w:eastAsia="en-US"/>
        </w:rPr>
        <w:t>B</w:t>
      </w:r>
      <w:r w:rsidR="00155EC5" w:rsidRPr="00155EC5">
        <w:rPr>
          <w:rFonts w:asciiTheme="minorHAnsi" w:eastAsia="Times New Roman" w:hAnsiTheme="minorHAnsi" w:cs="Times New Roman"/>
          <w:lang w:val="en-US" w:eastAsia="en-US"/>
        </w:rPr>
        <w:t>oth</w:t>
      </w:r>
      <w:r>
        <w:rPr>
          <w:rFonts w:asciiTheme="minorHAnsi" w:eastAsia="Times New Roman" w:hAnsiTheme="minorHAnsi" w:cs="Times New Roman"/>
          <w:lang w:val="en-US" w:eastAsia="en-US"/>
        </w:rPr>
        <w:t>,</w:t>
      </w:r>
      <w:r w:rsidR="00155EC5" w:rsidRPr="00155EC5">
        <w:rPr>
          <w:rFonts w:asciiTheme="minorHAnsi" w:eastAsia="Times New Roman" w:hAnsiTheme="minorHAnsi" w:cs="Times New Roman"/>
          <w:lang w:val="en-US" w:eastAsia="en-US"/>
        </w:rPr>
        <w:t xml:space="preserve"> centralized elements and the ones located at the station </w:t>
      </w:r>
      <w:r w:rsidRPr="00155EC5">
        <w:rPr>
          <w:rFonts w:asciiTheme="minorHAnsi" w:eastAsia="Times New Roman" w:hAnsiTheme="minorHAnsi" w:cs="Times New Roman"/>
          <w:lang w:val="en-US" w:eastAsia="en-US"/>
        </w:rPr>
        <w:t>sites</w:t>
      </w:r>
      <w:r>
        <w:rPr>
          <w:rFonts w:asciiTheme="minorHAnsi" w:eastAsia="Times New Roman" w:hAnsiTheme="minorHAnsi" w:cs="Times New Roman"/>
          <w:lang w:val="en-US" w:eastAsia="en-US"/>
        </w:rPr>
        <w:t xml:space="preserve"> are considered</w:t>
      </w:r>
      <w:r w:rsidR="00155EC5" w:rsidRPr="00155EC5">
        <w:rPr>
          <w:rFonts w:asciiTheme="minorHAnsi" w:eastAsia="Times New Roman" w:hAnsiTheme="minorHAnsi" w:cs="Times New Roman"/>
          <w:lang w:val="en-US" w:eastAsia="en-US"/>
        </w:rPr>
        <w:t xml:space="preserve">. The number of units of each of them is </w:t>
      </w:r>
      <w:r>
        <w:rPr>
          <w:rFonts w:asciiTheme="minorHAnsi" w:eastAsia="Times New Roman" w:hAnsiTheme="minorHAnsi" w:cs="Times New Roman"/>
          <w:lang w:val="en-US" w:eastAsia="en-US"/>
        </w:rPr>
        <w:t>based on</w:t>
      </w:r>
      <w:r w:rsidR="00155EC5" w:rsidRPr="00155EC5">
        <w:rPr>
          <w:rFonts w:asciiTheme="minorHAnsi" w:eastAsia="Times New Roman" w:hAnsiTheme="minorHAnsi" w:cs="Times New Roman"/>
          <w:lang w:val="en-US" w:eastAsia="en-US"/>
        </w:rPr>
        <w:t xml:space="preserve"> a full-redundant architecture. </w:t>
      </w:r>
    </w:p>
    <w:p w14:paraId="025AB152" w14:textId="3EFDAD2F" w:rsidR="00155EC5" w:rsidRPr="00155EC5" w:rsidRDefault="00155EC5" w:rsidP="00C348D0">
      <w:pPr>
        <w:numPr>
          <w:ilvl w:val="0"/>
          <w:numId w:val="22"/>
        </w:numPr>
        <w:spacing w:after="120"/>
        <w:jc w:val="both"/>
        <w:rPr>
          <w:rFonts w:asciiTheme="minorHAnsi" w:eastAsia="Times New Roman" w:hAnsiTheme="minorHAnsi" w:cs="Times New Roman"/>
          <w:lang w:eastAsia="en-US"/>
        </w:rPr>
      </w:pPr>
      <w:r w:rsidRPr="00155EC5">
        <w:rPr>
          <w:rFonts w:asciiTheme="minorHAnsi" w:eastAsia="Times New Roman" w:hAnsiTheme="minorHAnsi" w:cs="Times New Roman"/>
          <w:b/>
          <w:lang w:eastAsia="en-US"/>
        </w:rPr>
        <w:t>CAPEX</w:t>
      </w:r>
      <w:r w:rsidR="00D53E07">
        <w:rPr>
          <w:rFonts w:asciiTheme="minorHAnsi" w:eastAsia="Times New Roman" w:hAnsiTheme="minorHAnsi" w:cs="Times New Roman"/>
          <w:b/>
          <w:lang w:eastAsia="en-US"/>
        </w:rPr>
        <w:t xml:space="preserve">-C: </w:t>
      </w:r>
      <w:r w:rsidR="00D53E07" w:rsidRPr="00D53E07">
        <w:rPr>
          <w:rFonts w:asciiTheme="minorHAnsi" w:eastAsia="Times New Roman" w:hAnsiTheme="minorHAnsi" w:cs="Times New Roman"/>
          <w:lang w:eastAsia="en-US"/>
        </w:rPr>
        <w:t xml:space="preserve">Capital Expenditures </w:t>
      </w:r>
      <w:r w:rsidR="00D53E07">
        <w:rPr>
          <w:rFonts w:asciiTheme="minorHAnsi" w:eastAsia="Times New Roman" w:hAnsiTheme="minorHAnsi" w:cs="Times New Roman"/>
          <w:lang w:eastAsia="en-US"/>
        </w:rPr>
        <w:t>which represent the value of the assets of the</w:t>
      </w:r>
      <w:r w:rsidR="00D53E07" w:rsidRPr="00D53E07">
        <w:rPr>
          <w:rFonts w:asciiTheme="minorHAnsi" w:eastAsia="Times New Roman" w:hAnsiTheme="minorHAnsi" w:cs="Times New Roman"/>
          <w:lang w:eastAsia="en-US"/>
        </w:rPr>
        <w:t xml:space="preserve"> </w:t>
      </w:r>
      <w:r w:rsidRPr="00D53E07">
        <w:rPr>
          <w:rFonts w:asciiTheme="minorHAnsi" w:eastAsia="Times New Roman" w:hAnsiTheme="minorHAnsi" w:cs="Times New Roman"/>
          <w:b/>
          <w:u w:val="single"/>
          <w:lang w:eastAsia="en-US"/>
        </w:rPr>
        <w:t>C</w:t>
      </w:r>
      <w:r w:rsidRPr="00D53E07">
        <w:rPr>
          <w:rFonts w:asciiTheme="minorHAnsi" w:eastAsia="Times New Roman" w:hAnsiTheme="minorHAnsi" w:cs="Times New Roman"/>
          <w:u w:val="single"/>
          <w:lang w:eastAsia="en-US"/>
        </w:rPr>
        <w:t>omplete</w:t>
      </w:r>
      <w:r w:rsidRPr="00D53E07">
        <w:rPr>
          <w:rFonts w:asciiTheme="minorHAnsi" w:eastAsia="Times New Roman" w:hAnsiTheme="minorHAnsi" w:cs="Times New Roman"/>
          <w:lang w:eastAsia="en-US"/>
        </w:rPr>
        <w:t xml:space="preserve"> infrastructure</w:t>
      </w:r>
      <w:r w:rsidR="00D53E07" w:rsidRPr="00D53E07">
        <w:rPr>
          <w:rFonts w:asciiTheme="minorHAnsi" w:eastAsia="Times New Roman" w:hAnsiTheme="minorHAnsi" w:cs="Times New Roman"/>
          <w:lang w:eastAsia="en-US"/>
        </w:rPr>
        <w:t>. It</w:t>
      </w:r>
      <w:r w:rsidRPr="00D53E07">
        <w:rPr>
          <w:rFonts w:asciiTheme="minorHAnsi" w:eastAsia="Times New Roman" w:hAnsiTheme="minorHAnsi" w:cs="Times New Roman"/>
          <w:lang w:eastAsia="en-US"/>
        </w:rPr>
        <w:t xml:space="preserve"> is calculated</w:t>
      </w:r>
      <w:r w:rsidRPr="00155EC5">
        <w:rPr>
          <w:rFonts w:asciiTheme="minorHAnsi" w:eastAsia="Times New Roman" w:hAnsiTheme="minorHAnsi" w:cs="Times New Roman"/>
          <w:lang w:eastAsia="en-US"/>
        </w:rPr>
        <w:t xml:space="preserve"> for five different placements, according to the number of stations (1, 5, 10, 15 and 20). CAPEX of the overall architecture is useful to have an estimation of the cost of installing a new infrastructure according to the traditional concept, but also to calculate part of the yearly operating expenditures (OPEX).</w:t>
      </w:r>
    </w:p>
    <w:p w14:paraId="6C514504" w14:textId="2A9C52B9" w:rsidR="00155EC5" w:rsidRPr="00155EC5" w:rsidRDefault="00155EC5" w:rsidP="00C348D0">
      <w:pPr>
        <w:numPr>
          <w:ilvl w:val="0"/>
          <w:numId w:val="22"/>
        </w:numPr>
        <w:spacing w:after="120"/>
        <w:jc w:val="both"/>
        <w:rPr>
          <w:rFonts w:asciiTheme="minorHAnsi" w:eastAsia="Times New Roman" w:hAnsiTheme="minorHAnsi" w:cs="Times New Roman"/>
          <w:lang w:eastAsia="en-US"/>
        </w:rPr>
      </w:pPr>
      <w:r w:rsidRPr="00155EC5">
        <w:rPr>
          <w:rFonts w:asciiTheme="minorHAnsi" w:eastAsia="Times New Roman" w:hAnsiTheme="minorHAnsi" w:cs="Times New Roman"/>
          <w:b/>
          <w:lang w:eastAsia="en-US"/>
        </w:rPr>
        <w:t>OPEX</w:t>
      </w:r>
      <w:r w:rsidR="00D53E07">
        <w:rPr>
          <w:rFonts w:asciiTheme="minorHAnsi" w:eastAsia="Times New Roman" w:hAnsiTheme="minorHAnsi" w:cs="Times New Roman"/>
          <w:b/>
          <w:lang w:eastAsia="en-US"/>
        </w:rPr>
        <w:t>-C:</w:t>
      </w:r>
      <w:r w:rsidRPr="00155EC5">
        <w:rPr>
          <w:rFonts w:asciiTheme="minorHAnsi" w:eastAsia="Times New Roman" w:hAnsiTheme="minorHAnsi" w:cs="Times New Roman"/>
          <w:b/>
          <w:lang w:eastAsia="en-US"/>
        </w:rPr>
        <w:t xml:space="preserve"> </w:t>
      </w:r>
      <w:r w:rsidR="00D53E07">
        <w:rPr>
          <w:rFonts w:asciiTheme="minorHAnsi" w:eastAsia="Times New Roman" w:hAnsiTheme="minorHAnsi" w:cs="Times New Roman"/>
          <w:lang w:eastAsia="en-US"/>
        </w:rPr>
        <w:t>C</w:t>
      </w:r>
      <w:r w:rsidRPr="00155EC5">
        <w:rPr>
          <w:rFonts w:asciiTheme="minorHAnsi" w:eastAsia="Times New Roman" w:hAnsiTheme="minorHAnsi" w:cs="Times New Roman"/>
          <w:lang w:eastAsia="en-US"/>
        </w:rPr>
        <w:t xml:space="preserve">onsidered as yearly </w:t>
      </w:r>
      <w:r w:rsidR="00D53E07">
        <w:rPr>
          <w:rFonts w:asciiTheme="minorHAnsi" w:eastAsia="Times New Roman" w:hAnsiTheme="minorHAnsi" w:cs="Times New Roman"/>
          <w:lang w:eastAsia="en-US"/>
        </w:rPr>
        <w:t>O</w:t>
      </w:r>
      <w:r w:rsidRPr="00155EC5">
        <w:rPr>
          <w:rFonts w:asciiTheme="minorHAnsi" w:eastAsia="Times New Roman" w:hAnsiTheme="minorHAnsi" w:cs="Times New Roman"/>
          <w:lang w:eastAsia="en-US"/>
        </w:rPr>
        <w:t xml:space="preserve">perating </w:t>
      </w:r>
      <w:r w:rsidR="00D53E07">
        <w:rPr>
          <w:rFonts w:asciiTheme="minorHAnsi" w:eastAsia="Times New Roman" w:hAnsiTheme="minorHAnsi" w:cs="Times New Roman"/>
          <w:lang w:eastAsia="en-US"/>
        </w:rPr>
        <w:t>E</w:t>
      </w:r>
      <w:r w:rsidRPr="00155EC5">
        <w:rPr>
          <w:rFonts w:asciiTheme="minorHAnsi" w:eastAsia="Times New Roman" w:hAnsiTheme="minorHAnsi" w:cs="Times New Roman"/>
          <w:lang w:eastAsia="en-US"/>
        </w:rPr>
        <w:t>xpenditures</w:t>
      </w:r>
      <w:r w:rsidR="00D53E07">
        <w:rPr>
          <w:rFonts w:asciiTheme="minorHAnsi" w:eastAsia="Times New Roman" w:hAnsiTheme="minorHAnsi" w:cs="Times New Roman"/>
          <w:lang w:eastAsia="en-US"/>
        </w:rPr>
        <w:t xml:space="preserve"> associated to the </w:t>
      </w:r>
      <w:r w:rsidR="00D53E07" w:rsidRPr="00D53E07">
        <w:rPr>
          <w:rFonts w:asciiTheme="minorHAnsi" w:eastAsia="Times New Roman" w:hAnsiTheme="minorHAnsi" w:cs="Times New Roman"/>
          <w:b/>
          <w:u w:val="single"/>
          <w:lang w:eastAsia="en-US"/>
        </w:rPr>
        <w:t>C</w:t>
      </w:r>
      <w:r w:rsidR="00D53E07" w:rsidRPr="00D53E07">
        <w:rPr>
          <w:rFonts w:asciiTheme="minorHAnsi" w:eastAsia="Times New Roman" w:hAnsiTheme="minorHAnsi" w:cs="Times New Roman"/>
          <w:u w:val="single"/>
          <w:lang w:eastAsia="en-US"/>
        </w:rPr>
        <w:t>omplete</w:t>
      </w:r>
      <w:r w:rsidR="00D53E07">
        <w:rPr>
          <w:rFonts w:asciiTheme="minorHAnsi" w:eastAsia="Times New Roman" w:hAnsiTheme="minorHAnsi" w:cs="Times New Roman"/>
          <w:lang w:eastAsia="en-US"/>
        </w:rPr>
        <w:t xml:space="preserve"> infrastructure,</w:t>
      </w:r>
      <w:r w:rsidRPr="00155EC5">
        <w:rPr>
          <w:rFonts w:asciiTheme="minorHAnsi" w:eastAsia="Times New Roman" w:hAnsiTheme="minorHAnsi" w:cs="Times New Roman"/>
          <w:lang w:eastAsia="en-US"/>
        </w:rPr>
        <w:t xml:space="preserve"> which include maintenance and communication lines</w:t>
      </w:r>
      <w:r w:rsidR="00D53E07">
        <w:rPr>
          <w:rFonts w:asciiTheme="minorHAnsi" w:eastAsia="Times New Roman" w:hAnsiTheme="minorHAnsi" w:cs="Times New Roman"/>
          <w:lang w:eastAsia="en-US"/>
        </w:rPr>
        <w:t>. OPEX</w:t>
      </w:r>
      <w:r w:rsidRPr="00155EC5">
        <w:rPr>
          <w:rFonts w:asciiTheme="minorHAnsi" w:eastAsia="Times New Roman" w:hAnsiTheme="minorHAnsi" w:cs="Times New Roman"/>
          <w:lang w:eastAsia="en-US"/>
        </w:rPr>
        <w:t xml:space="preserve"> is highly dependable on specific contracts and difficult to estimate on a generic basis. The approach for estimating annual operating expenditures has been the sum of two addends: </w:t>
      </w:r>
    </w:p>
    <w:p w14:paraId="04D1AD6F" w14:textId="77777777" w:rsidR="00155EC5" w:rsidRPr="00155EC5" w:rsidRDefault="00155EC5" w:rsidP="00C348D0">
      <w:pPr>
        <w:numPr>
          <w:ilvl w:val="1"/>
          <w:numId w:val="22"/>
        </w:numPr>
        <w:spacing w:after="120"/>
        <w:jc w:val="both"/>
        <w:rPr>
          <w:rFonts w:asciiTheme="minorHAnsi" w:eastAsia="Times New Roman" w:hAnsiTheme="minorHAnsi" w:cs="Times New Roman"/>
          <w:lang w:eastAsia="en-US"/>
        </w:rPr>
      </w:pPr>
      <w:r w:rsidRPr="00155EC5">
        <w:rPr>
          <w:rFonts w:asciiTheme="minorHAnsi" w:eastAsia="Times New Roman" w:hAnsiTheme="minorHAnsi" w:cs="Times New Roman"/>
          <w:lang w:eastAsia="en-US"/>
        </w:rPr>
        <w:t xml:space="preserve">A fixed percentage of the capital expenditure. In our analysis, this addend has been estimated in a 12% of the CAPEX. </w:t>
      </w:r>
    </w:p>
    <w:p w14:paraId="7AF732FE" w14:textId="77777777" w:rsidR="006C6F25" w:rsidRPr="00155EC5" w:rsidRDefault="00155EC5" w:rsidP="00C348D0">
      <w:pPr>
        <w:numPr>
          <w:ilvl w:val="1"/>
          <w:numId w:val="22"/>
        </w:numPr>
        <w:spacing w:after="120"/>
        <w:jc w:val="both"/>
        <w:rPr>
          <w:rFonts w:asciiTheme="minorHAnsi" w:eastAsia="Times New Roman" w:hAnsiTheme="minorHAnsi" w:cs="Times New Roman"/>
          <w:lang w:eastAsia="en-US"/>
        </w:rPr>
      </w:pPr>
      <w:r w:rsidRPr="00155EC5">
        <w:rPr>
          <w:rFonts w:asciiTheme="minorHAnsi" w:eastAsia="Times New Roman" w:hAnsiTheme="minorHAnsi" w:cs="Times New Roman"/>
          <w:lang w:eastAsia="en-US"/>
        </w:rPr>
        <w:t xml:space="preserve">Communications’ costs, </w:t>
      </w:r>
      <w:r w:rsidR="00AF0A9A" w:rsidRPr="00AF0A9A">
        <w:rPr>
          <w:rFonts w:asciiTheme="minorHAnsi" w:eastAsia="Times New Roman" w:hAnsiTheme="minorHAnsi" w:cs="Times New Roman"/>
          <w:lang w:eastAsia="en-US"/>
        </w:rPr>
        <w:t>according to the rat</w:t>
      </w:r>
      <w:r w:rsidR="00AF0A9A">
        <w:rPr>
          <w:rFonts w:asciiTheme="minorHAnsi" w:eastAsia="Times New Roman" w:hAnsiTheme="minorHAnsi" w:cs="Times New Roman"/>
          <w:lang w:eastAsia="en-US"/>
        </w:rPr>
        <w:t xml:space="preserve">ionale explained in section </w:t>
      </w:r>
      <w:r w:rsidR="00AF0A9A">
        <w:rPr>
          <w:rFonts w:asciiTheme="minorHAnsi" w:eastAsia="Times New Roman" w:hAnsiTheme="minorHAnsi" w:cs="Times New Roman"/>
          <w:lang w:eastAsia="en-US"/>
        </w:rPr>
        <w:fldChar w:fldCharType="begin"/>
      </w:r>
      <w:r w:rsidR="00AF0A9A">
        <w:rPr>
          <w:rFonts w:asciiTheme="minorHAnsi" w:eastAsia="Times New Roman" w:hAnsiTheme="minorHAnsi" w:cs="Times New Roman"/>
          <w:lang w:eastAsia="en-US"/>
        </w:rPr>
        <w:instrText xml:space="preserve"> REF _Ref475015688 \r \h </w:instrText>
      </w:r>
      <w:r w:rsidR="00AF0A9A">
        <w:rPr>
          <w:rFonts w:asciiTheme="minorHAnsi" w:eastAsia="Times New Roman" w:hAnsiTheme="minorHAnsi" w:cs="Times New Roman"/>
          <w:lang w:eastAsia="en-US"/>
        </w:rPr>
      </w:r>
      <w:r w:rsidR="00AF0A9A">
        <w:rPr>
          <w:rFonts w:asciiTheme="minorHAnsi" w:eastAsia="Times New Roman" w:hAnsiTheme="minorHAnsi" w:cs="Times New Roman"/>
          <w:lang w:eastAsia="en-US"/>
        </w:rPr>
        <w:fldChar w:fldCharType="separate"/>
      </w:r>
      <w:r w:rsidR="00AF0A9A">
        <w:rPr>
          <w:rFonts w:asciiTheme="minorHAnsi" w:eastAsia="Times New Roman" w:hAnsiTheme="minorHAnsi" w:cs="Times New Roman"/>
          <w:lang w:eastAsia="en-US"/>
        </w:rPr>
        <w:t>1.1.1</w:t>
      </w:r>
      <w:r w:rsidR="00AF0A9A">
        <w:rPr>
          <w:rFonts w:asciiTheme="minorHAnsi" w:eastAsia="Times New Roman" w:hAnsiTheme="minorHAnsi" w:cs="Times New Roman"/>
          <w:lang w:eastAsia="en-US"/>
        </w:rPr>
        <w:fldChar w:fldCharType="end"/>
      </w:r>
      <w:r w:rsidR="00AF0A9A">
        <w:rPr>
          <w:rFonts w:asciiTheme="minorHAnsi" w:eastAsia="Times New Roman" w:hAnsiTheme="minorHAnsi" w:cs="Times New Roman"/>
          <w:lang w:eastAsia="en-US"/>
        </w:rPr>
        <w:t>.</w:t>
      </w:r>
      <w:r w:rsidR="00AF0A9A" w:rsidRPr="00155EC5">
        <w:rPr>
          <w:rFonts w:asciiTheme="minorHAnsi" w:eastAsia="Times New Roman" w:hAnsiTheme="minorHAnsi" w:cs="Times New Roman"/>
          <w:lang w:eastAsia="en-US"/>
        </w:rPr>
        <w:t xml:space="preserve"> </w:t>
      </w:r>
    </w:p>
    <w:p w14:paraId="786C38E6" w14:textId="77777777" w:rsidR="00155EC5" w:rsidRPr="00155EC5" w:rsidRDefault="00155EC5" w:rsidP="00155EC5">
      <w:pPr>
        <w:spacing w:after="120"/>
        <w:jc w:val="both"/>
        <w:rPr>
          <w:rFonts w:asciiTheme="minorHAnsi" w:eastAsia="Times New Roman" w:hAnsiTheme="minorHAnsi" w:cs="Times New Roman"/>
          <w:lang w:eastAsia="en-US"/>
        </w:rPr>
      </w:pPr>
      <w:r w:rsidRPr="00155EC5">
        <w:rPr>
          <w:rFonts w:asciiTheme="minorHAnsi" w:eastAsia="Times New Roman" w:hAnsiTheme="minorHAnsi" w:cs="Times New Roman"/>
          <w:u w:val="single"/>
          <w:lang w:eastAsia="en-US"/>
        </w:rPr>
        <w:t>Alternate scenarios</w:t>
      </w:r>
      <w:r w:rsidRPr="00155EC5">
        <w:rPr>
          <w:rFonts w:asciiTheme="minorHAnsi" w:eastAsia="Times New Roman" w:hAnsiTheme="minorHAnsi" w:cs="Times New Roman"/>
          <w:lang w:eastAsia="en-US"/>
        </w:rPr>
        <w:t>:</w:t>
      </w:r>
    </w:p>
    <w:p w14:paraId="413F98C7" w14:textId="0893AA55" w:rsidR="00155EC5" w:rsidRPr="00155EC5" w:rsidRDefault="00155EC5" w:rsidP="007144A0">
      <w:pPr>
        <w:numPr>
          <w:ilvl w:val="0"/>
          <w:numId w:val="24"/>
        </w:numPr>
        <w:spacing w:after="120"/>
        <w:jc w:val="both"/>
        <w:rPr>
          <w:rFonts w:asciiTheme="minorHAnsi" w:eastAsia="Times New Roman" w:hAnsiTheme="minorHAnsi" w:cs="Times New Roman"/>
          <w:lang w:eastAsia="en-US"/>
        </w:rPr>
      </w:pPr>
      <w:r w:rsidRPr="00155EC5">
        <w:rPr>
          <w:rFonts w:asciiTheme="minorHAnsi" w:eastAsia="Times New Roman" w:hAnsiTheme="minorHAnsi" w:cs="Times New Roman"/>
          <w:b/>
          <w:lang w:eastAsia="en-US"/>
        </w:rPr>
        <w:t>CAPEX</w:t>
      </w:r>
      <w:r w:rsidR="004F3480">
        <w:rPr>
          <w:rFonts w:asciiTheme="minorHAnsi" w:eastAsia="Times New Roman" w:hAnsiTheme="minorHAnsi" w:cs="Times New Roman"/>
          <w:b/>
          <w:lang w:eastAsia="en-US"/>
        </w:rPr>
        <w:t>-C</w:t>
      </w:r>
      <w:r w:rsidRPr="00155EC5">
        <w:rPr>
          <w:rFonts w:asciiTheme="minorHAnsi" w:eastAsia="Times New Roman" w:hAnsiTheme="minorHAnsi" w:cs="Times New Roman"/>
          <w:lang w:eastAsia="en-US"/>
        </w:rPr>
        <w:t xml:space="preserve">: This is calculated in the same way as the reference scenario. CAPEX of the </w:t>
      </w:r>
      <w:r w:rsidR="004F3480" w:rsidRPr="004F3480">
        <w:rPr>
          <w:rFonts w:asciiTheme="minorHAnsi" w:eastAsia="Times New Roman" w:hAnsiTheme="minorHAnsi" w:cs="Times New Roman"/>
          <w:b/>
          <w:u w:val="single"/>
          <w:lang w:eastAsia="en-US"/>
        </w:rPr>
        <w:t>C</w:t>
      </w:r>
      <w:r w:rsidR="004F3480" w:rsidRPr="004F3480">
        <w:rPr>
          <w:rFonts w:asciiTheme="minorHAnsi" w:eastAsia="Times New Roman" w:hAnsiTheme="minorHAnsi" w:cs="Times New Roman"/>
          <w:u w:val="single"/>
          <w:lang w:eastAsia="en-US"/>
        </w:rPr>
        <w:t>omplete</w:t>
      </w:r>
      <w:r w:rsidR="004F3480" w:rsidRPr="00155EC5">
        <w:rPr>
          <w:rFonts w:asciiTheme="minorHAnsi" w:eastAsia="Times New Roman" w:hAnsiTheme="minorHAnsi" w:cs="Times New Roman"/>
          <w:lang w:eastAsia="en-US"/>
        </w:rPr>
        <w:t xml:space="preserve"> </w:t>
      </w:r>
      <w:r w:rsidRPr="00155EC5">
        <w:rPr>
          <w:rFonts w:asciiTheme="minorHAnsi" w:eastAsia="Times New Roman" w:hAnsiTheme="minorHAnsi" w:cs="Times New Roman"/>
          <w:lang w:eastAsia="en-US"/>
        </w:rPr>
        <w:t>architecture from scratch is useful to have an estimation of the cost of installing a new infrastructure according to the EGNOS-based concept, but also to calculate part of the yearly operating expenditures.</w:t>
      </w:r>
    </w:p>
    <w:p w14:paraId="09FB10BF" w14:textId="3FCAFB49" w:rsidR="007144A0" w:rsidRPr="00155EC5" w:rsidRDefault="00155EC5" w:rsidP="007144A0">
      <w:pPr>
        <w:numPr>
          <w:ilvl w:val="0"/>
          <w:numId w:val="24"/>
        </w:numPr>
        <w:spacing w:after="120"/>
        <w:jc w:val="both"/>
        <w:rPr>
          <w:rFonts w:asciiTheme="minorHAnsi" w:eastAsia="Times New Roman" w:hAnsiTheme="minorHAnsi" w:cs="Times New Roman"/>
          <w:lang w:eastAsia="en-US"/>
        </w:rPr>
      </w:pPr>
      <w:r w:rsidRPr="00155EC5">
        <w:rPr>
          <w:rFonts w:asciiTheme="minorHAnsi" w:eastAsia="Times New Roman" w:hAnsiTheme="minorHAnsi" w:cs="Times New Roman"/>
          <w:b/>
          <w:lang w:eastAsia="en-US"/>
        </w:rPr>
        <w:t>CAPEX</w:t>
      </w:r>
      <w:r w:rsidR="004F3480">
        <w:rPr>
          <w:rFonts w:asciiTheme="minorHAnsi" w:eastAsia="Times New Roman" w:hAnsiTheme="minorHAnsi" w:cs="Times New Roman"/>
          <w:b/>
          <w:lang w:eastAsia="en-US"/>
        </w:rPr>
        <w:t xml:space="preserve">-U: </w:t>
      </w:r>
      <w:r w:rsidR="004F3480" w:rsidRPr="004F3480">
        <w:rPr>
          <w:rFonts w:asciiTheme="minorHAnsi" w:eastAsia="Times New Roman" w:hAnsiTheme="minorHAnsi" w:cs="Times New Roman"/>
          <w:lang w:eastAsia="en-US"/>
        </w:rPr>
        <w:t xml:space="preserve">CAPEX </w:t>
      </w:r>
      <w:r w:rsidR="004F3480">
        <w:rPr>
          <w:rFonts w:asciiTheme="minorHAnsi" w:eastAsia="Times New Roman" w:hAnsiTheme="minorHAnsi" w:cs="Times New Roman"/>
          <w:lang w:eastAsia="en-US"/>
        </w:rPr>
        <w:t>related to</w:t>
      </w:r>
      <w:r w:rsidR="004F3480" w:rsidRPr="004F3480">
        <w:rPr>
          <w:rFonts w:asciiTheme="minorHAnsi" w:eastAsia="Times New Roman" w:hAnsiTheme="minorHAnsi" w:cs="Times New Roman"/>
          <w:lang w:eastAsia="en-US"/>
        </w:rPr>
        <w:t xml:space="preserve"> an</w:t>
      </w:r>
      <w:r w:rsidRPr="004F3480">
        <w:rPr>
          <w:rFonts w:asciiTheme="minorHAnsi" w:eastAsia="Times New Roman" w:hAnsiTheme="minorHAnsi" w:cs="Times New Roman"/>
          <w:lang w:eastAsia="en-US"/>
        </w:rPr>
        <w:t xml:space="preserve"> infrastructure </w:t>
      </w:r>
      <w:r w:rsidR="004F3480" w:rsidRPr="004F3480">
        <w:rPr>
          <w:rFonts w:asciiTheme="minorHAnsi" w:eastAsia="Times New Roman" w:hAnsiTheme="minorHAnsi" w:cs="Times New Roman"/>
          <w:b/>
          <w:u w:val="single"/>
          <w:lang w:eastAsia="en-US"/>
        </w:rPr>
        <w:t>U</w:t>
      </w:r>
      <w:r w:rsidRPr="004F3480">
        <w:rPr>
          <w:rFonts w:asciiTheme="minorHAnsi" w:eastAsia="Times New Roman" w:hAnsiTheme="minorHAnsi" w:cs="Times New Roman"/>
          <w:u w:val="single"/>
          <w:lang w:eastAsia="en-US"/>
        </w:rPr>
        <w:t>pgrade</w:t>
      </w:r>
      <w:r w:rsidR="004F3480" w:rsidRPr="004F3480">
        <w:rPr>
          <w:rFonts w:asciiTheme="minorHAnsi" w:eastAsia="Times New Roman" w:hAnsiTheme="minorHAnsi" w:cs="Times New Roman"/>
          <w:lang w:eastAsia="en-US"/>
        </w:rPr>
        <w:t>.</w:t>
      </w:r>
      <w:r w:rsidRPr="004F3480">
        <w:rPr>
          <w:rFonts w:asciiTheme="minorHAnsi" w:eastAsia="Times New Roman" w:hAnsiTheme="minorHAnsi" w:cs="Times New Roman"/>
          <w:lang w:eastAsia="en-US"/>
        </w:rPr>
        <w:t xml:space="preserve"> </w:t>
      </w:r>
      <w:r w:rsidRPr="00155EC5">
        <w:rPr>
          <w:rFonts w:asciiTheme="minorHAnsi" w:eastAsia="Times New Roman" w:hAnsiTheme="minorHAnsi" w:cs="Times New Roman"/>
          <w:lang w:eastAsia="en-US"/>
        </w:rPr>
        <w:t>This cost accounts for the investment in new components required in the EGNOS-based architectures.</w:t>
      </w:r>
    </w:p>
    <w:p w14:paraId="1BDC9BC0" w14:textId="0F6B3A06" w:rsidR="00155EC5" w:rsidRPr="00155EC5" w:rsidRDefault="00155EC5" w:rsidP="007144A0">
      <w:pPr>
        <w:numPr>
          <w:ilvl w:val="0"/>
          <w:numId w:val="24"/>
        </w:numPr>
        <w:spacing w:after="120"/>
        <w:jc w:val="both"/>
        <w:rPr>
          <w:rFonts w:asciiTheme="minorHAnsi" w:eastAsia="Times New Roman" w:hAnsiTheme="minorHAnsi" w:cs="Times New Roman"/>
          <w:lang w:eastAsia="en-US"/>
        </w:rPr>
      </w:pPr>
      <w:r w:rsidRPr="00155EC5">
        <w:rPr>
          <w:rFonts w:asciiTheme="minorHAnsi" w:eastAsia="Times New Roman" w:hAnsiTheme="minorHAnsi" w:cs="Times New Roman"/>
          <w:b/>
          <w:lang w:eastAsia="en-US"/>
        </w:rPr>
        <w:t>OPEX</w:t>
      </w:r>
      <w:r w:rsidR="004F3480">
        <w:rPr>
          <w:rFonts w:asciiTheme="minorHAnsi" w:eastAsia="Times New Roman" w:hAnsiTheme="minorHAnsi" w:cs="Times New Roman"/>
          <w:b/>
          <w:lang w:eastAsia="en-US"/>
        </w:rPr>
        <w:t>-C</w:t>
      </w:r>
      <w:r w:rsidRPr="00155EC5">
        <w:rPr>
          <w:rFonts w:asciiTheme="minorHAnsi" w:eastAsia="Times New Roman" w:hAnsiTheme="minorHAnsi" w:cs="Times New Roman"/>
          <w:lang w:eastAsia="en-US"/>
        </w:rPr>
        <w:t xml:space="preserve">: It is calculated in the same way as the reference scenario. The approach for estimating annual operating expenditures </w:t>
      </w:r>
      <w:r w:rsidR="004F3480">
        <w:rPr>
          <w:rFonts w:asciiTheme="minorHAnsi" w:eastAsia="Times New Roman" w:hAnsiTheme="minorHAnsi" w:cs="Times New Roman"/>
          <w:lang w:eastAsia="en-US"/>
        </w:rPr>
        <w:t xml:space="preserve">of the </w:t>
      </w:r>
      <w:r w:rsidR="004F3480" w:rsidRPr="004F3480">
        <w:rPr>
          <w:rFonts w:asciiTheme="minorHAnsi" w:eastAsia="Times New Roman" w:hAnsiTheme="minorHAnsi" w:cs="Times New Roman"/>
          <w:b/>
          <w:u w:val="single"/>
          <w:lang w:eastAsia="en-US"/>
        </w:rPr>
        <w:t>C</w:t>
      </w:r>
      <w:r w:rsidR="004F3480" w:rsidRPr="004F3480">
        <w:rPr>
          <w:rFonts w:asciiTheme="minorHAnsi" w:eastAsia="Times New Roman" w:hAnsiTheme="minorHAnsi" w:cs="Times New Roman"/>
          <w:u w:val="single"/>
          <w:lang w:eastAsia="en-US"/>
        </w:rPr>
        <w:t>omplete</w:t>
      </w:r>
      <w:r w:rsidR="004F3480">
        <w:rPr>
          <w:rFonts w:asciiTheme="minorHAnsi" w:eastAsia="Times New Roman" w:hAnsiTheme="minorHAnsi" w:cs="Times New Roman"/>
          <w:lang w:eastAsia="en-US"/>
        </w:rPr>
        <w:t xml:space="preserve"> architecture</w:t>
      </w:r>
      <w:r w:rsidRPr="00155EC5">
        <w:rPr>
          <w:rFonts w:asciiTheme="minorHAnsi" w:eastAsia="Times New Roman" w:hAnsiTheme="minorHAnsi" w:cs="Times New Roman"/>
          <w:lang w:eastAsia="en-US"/>
        </w:rPr>
        <w:t xml:space="preserve"> has been the sum of two addends: </w:t>
      </w:r>
    </w:p>
    <w:p w14:paraId="794FC84C" w14:textId="77777777" w:rsidR="00AF0A9A" w:rsidRDefault="00155EC5" w:rsidP="007144A0">
      <w:pPr>
        <w:numPr>
          <w:ilvl w:val="1"/>
          <w:numId w:val="24"/>
        </w:numPr>
        <w:spacing w:after="120"/>
        <w:jc w:val="both"/>
        <w:rPr>
          <w:rFonts w:asciiTheme="minorHAnsi" w:eastAsia="Times New Roman" w:hAnsiTheme="minorHAnsi" w:cs="Times New Roman"/>
          <w:lang w:eastAsia="en-US"/>
        </w:rPr>
      </w:pPr>
      <w:r w:rsidRPr="00155EC5">
        <w:rPr>
          <w:rFonts w:asciiTheme="minorHAnsi" w:eastAsia="Times New Roman" w:hAnsiTheme="minorHAnsi" w:cs="Times New Roman"/>
          <w:lang w:eastAsia="en-US"/>
        </w:rPr>
        <w:t xml:space="preserve">A fixed percentage of the capital expenditure. In our analysis, this addend has been estimated in a 12% of the CAPEX. </w:t>
      </w:r>
    </w:p>
    <w:p w14:paraId="04C40A9E" w14:textId="77777777" w:rsidR="00BC5F06" w:rsidRPr="00155EC5" w:rsidRDefault="00AF0A9A" w:rsidP="007144A0">
      <w:pPr>
        <w:numPr>
          <w:ilvl w:val="1"/>
          <w:numId w:val="24"/>
        </w:numPr>
        <w:spacing w:after="120"/>
        <w:jc w:val="both"/>
        <w:rPr>
          <w:rFonts w:asciiTheme="minorHAnsi" w:eastAsia="Times New Roman" w:hAnsiTheme="minorHAnsi" w:cs="Times New Roman"/>
          <w:lang w:eastAsia="en-US"/>
        </w:rPr>
      </w:pPr>
      <w:r w:rsidRPr="00AF0A9A">
        <w:rPr>
          <w:rFonts w:asciiTheme="minorHAnsi" w:eastAsia="Times New Roman" w:hAnsiTheme="minorHAnsi" w:cs="Times New Roman"/>
          <w:lang w:eastAsia="en-US"/>
        </w:rPr>
        <w:t>Communications’ costs, taking into account the necessary upgrades in centralised and/or EDAS based architectures, accordi</w:t>
      </w:r>
      <w:r>
        <w:rPr>
          <w:rFonts w:asciiTheme="minorHAnsi" w:eastAsia="Times New Roman" w:hAnsiTheme="minorHAnsi" w:cs="Times New Roman"/>
          <w:lang w:eastAsia="en-US"/>
        </w:rPr>
        <w:t>ng to the rationale explained</w:t>
      </w:r>
      <w:r w:rsidRPr="00AF0A9A">
        <w:rPr>
          <w:rFonts w:asciiTheme="minorHAnsi" w:eastAsia="Times New Roman" w:hAnsiTheme="minorHAnsi" w:cs="Times New Roman"/>
          <w:lang w:eastAsia="en-US"/>
        </w:rPr>
        <w:t xml:space="preserve"> </w:t>
      </w:r>
      <w:r>
        <w:rPr>
          <w:rFonts w:asciiTheme="minorHAnsi" w:eastAsia="Times New Roman" w:hAnsiTheme="minorHAnsi" w:cs="Times New Roman"/>
          <w:lang w:eastAsia="en-US"/>
        </w:rPr>
        <w:t xml:space="preserve">in section </w:t>
      </w:r>
      <w:r>
        <w:rPr>
          <w:rFonts w:asciiTheme="minorHAnsi" w:eastAsia="Times New Roman" w:hAnsiTheme="minorHAnsi" w:cs="Times New Roman"/>
          <w:lang w:eastAsia="en-US"/>
        </w:rPr>
        <w:fldChar w:fldCharType="begin"/>
      </w:r>
      <w:r>
        <w:rPr>
          <w:rFonts w:asciiTheme="minorHAnsi" w:eastAsia="Times New Roman" w:hAnsiTheme="minorHAnsi" w:cs="Times New Roman"/>
          <w:lang w:eastAsia="en-US"/>
        </w:rPr>
        <w:instrText xml:space="preserve"> REF _Ref475015688 \r \h </w:instrText>
      </w:r>
      <w:r>
        <w:rPr>
          <w:rFonts w:asciiTheme="minorHAnsi" w:eastAsia="Times New Roman" w:hAnsiTheme="minorHAnsi" w:cs="Times New Roman"/>
          <w:lang w:eastAsia="en-US"/>
        </w:rPr>
      </w:r>
      <w:r>
        <w:rPr>
          <w:rFonts w:asciiTheme="minorHAnsi" w:eastAsia="Times New Roman" w:hAnsiTheme="minorHAnsi" w:cs="Times New Roman"/>
          <w:lang w:eastAsia="en-US"/>
        </w:rPr>
        <w:fldChar w:fldCharType="separate"/>
      </w:r>
      <w:r>
        <w:rPr>
          <w:rFonts w:asciiTheme="minorHAnsi" w:eastAsia="Times New Roman" w:hAnsiTheme="minorHAnsi" w:cs="Times New Roman"/>
          <w:lang w:eastAsia="en-US"/>
        </w:rPr>
        <w:t>1.1.1</w:t>
      </w:r>
      <w:r>
        <w:rPr>
          <w:rFonts w:asciiTheme="minorHAnsi" w:eastAsia="Times New Roman" w:hAnsiTheme="minorHAnsi" w:cs="Times New Roman"/>
          <w:lang w:eastAsia="en-US"/>
        </w:rPr>
        <w:fldChar w:fldCharType="end"/>
      </w:r>
      <w:r w:rsidR="00BC5F06" w:rsidRPr="00AF0A9A">
        <w:rPr>
          <w:rFonts w:asciiTheme="minorHAnsi" w:eastAsia="Times New Roman" w:hAnsiTheme="minorHAnsi" w:cs="Times New Roman"/>
          <w:lang w:eastAsia="en-US"/>
        </w:rPr>
        <w:t>.</w:t>
      </w:r>
    </w:p>
    <w:p w14:paraId="4C46A4CE" w14:textId="77777777" w:rsidR="00155EC5" w:rsidRPr="00155EC5" w:rsidRDefault="00155EC5" w:rsidP="00155EC5">
      <w:pPr>
        <w:spacing w:after="120"/>
        <w:jc w:val="both"/>
        <w:rPr>
          <w:rFonts w:asciiTheme="minorHAnsi" w:eastAsia="Times New Roman" w:hAnsiTheme="minorHAnsi" w:cs="Times New Roman"/>
          <w:lang w:val="en-US" w:eastAsia="en-US"/>
        </w:rPr>
      </w:pPr>
      <w:r w:rsidRPr="00155EC5">
        <w:rPr>
          <w:rFonts w:asciiTheme="minorHAnsi" w:eastAsia="Times New Roman" w:hAnsiTheme="minorHAnsi" w:cs="Times New Roman"/>
          <w:u w:val="single"/>
          <w:lang w:val="en-US" w:eastAsia="en-US"/>
        </w:rPr>
        <w:t>Costs comparison</w:t>
      </w:r>
      <w:r w:rsidRPr="00155EC5">
        <w:rPr>
          <w:rFonts w:asciiTheme="minorHAnsi" w:eastAsia="Times New Roman" w:hAnsiTheme="minorHAnsi" w:cs="Times New Roman"/>
          <w:lang w:val="en-US" w:eastAsia="en-US"/>
        </w:rPr>
        <w:t xml:space="preserve">: </w:t>
      </w:r>
    </w:p>
    <w:p w14:paraId="4D394094" w14:textId="38A1816D" w:rsidR="00A479C2" w:rsidRPr="00A479C2" w:rsidRDefault="00A479C2" w:rsidP="00A479C2">
      <w:pPr>
        <w:numPr>
          <w:ilvl w:val="0"/>
          <w:numId w:val="25"/>
        </w:numPr>
        <w:spacing w:after="120"/>
        <w:jc w:val="both"/>
        <w:rPr>
          <w:rFonts w:asciiTheme="minorHAnsi" w:eastAsia="Times New Roman" w:hAnsiTheme="minorHAnsi" w:cs="Times New Roman"/>
          <w:lang w:eastAsia="en-US"/>
        </w:rPr>
      </w:pPr>
      <w:r w:rsidRPr="007144A0">
        <w:rPr>
          <w:rFonts w:asciiTheme="minorHAnsi" w:eastAsia="Times New Roman" w:hAnsiTheme="minorHAnsi" w:cs="Times New Roman"/>
          <w:b/>
          <w:lang w:eastAsia="en-US"/>
        </w:rPr>
        <w:t>CAPEX-D</w:t>
      </w:r>
      <w:r>
        <w:rPr>
          <w:rFonts w:asciiTheme="minorHAnsi" w:eastAsia="Times New Roman" w:hAnsiTheme="minorHAnsi" w:cs="Times New Roman"/>
          <w:lang w:eastAsia="en-US"/>
        </w:rPr>
        <w:t xml:space="preserve">: </w:t>
      </w:r>
      <w:r w:rsidR="007144A0" w:rsidRPr="00155EC5">
        <w:rPr>
          <w:rFonts w:asciiTheme="minorHAnsi" w:eastAsia="Times New Roman" w:hAnsiTheme="minorHAnsi" w:cs="Times New Roman"/>
          <w:lang w:eastAsia="en-US"/>
        </w:rPr>
        <w:t xml:space="preserve">This is the </w:t>
      </w:r>
      <w:r w:rsidR="007144A0" w:rsidRPr="004F3480">
        <w:rPr>
          <w:rFonts w:asciiTheme="minorHAnsi" w:eastAsia="Times New Roman" w:hAnsiTheme="minorHAnsi" w:cs="Times New Roman"/>
          <w:b/>
          <w:u w:val="single"/>
          <w:lang w:eastAsia="en-US"/>
        </w:rPr>
        <w:t>D</w:t>
      </w:r>
      <w:r w:rsidR="007144A0" w:rsidRPr="004F3480">
        <w:rPr>
          <w:rFonts w:asciiTheme="minorHAnsi" w:eastAsia="Times New Roman" w:hAnsiTheme="minorHAnsi" w:cs="Times New Roman"/>
          <w:u w:val="single"/>
          <w:lang w:eastAsia="en-US"/>
        </w:rPr>
        <w:t>ifference</w:t>
      </w:r>
      <w:r w:rsidR="007144A0" w:rsidRPr="00155EC5">
        <w:rPr>
          <w:rFonts w:asciiTheme="minorHAnsi" w:eastAsia="Times New Roman" w:hAnsiTheme="minorHAnsi" w:cs="Times New Roman"/>
          <w:lang w:eastAsia="en-US"/>
        </w:rPr>
        <w:t xml:space="preserve"> between the </w:t>
      </w:r>
      <w:r w:rsidR="007144A0">
        <w:rPr>
          <w:rFonts w:asciiTheme="minorHAnsi" w:eastAsia="Times New Roman" w:hAnsiTheme="minorHAnsi" w:cs="Times New Roman"/>
          <w:lang w:eastAsia="en-US"/>
        </w:rPr>
        <w:t>CAPEX-C</w:t>
      </w:r>
      <w:r w:rsidR="007144A0" w:rsidRPr="00155EC5">
        <w:rPr>
          <w:rFonts w:asciiTheme="minorHAnsi" w:eastAsia="Times New Roman" w:hAnsiTheme="minorHAnsi" w:cs="Times New Roman"/>
          <w:lang w:eastAsia="en-US"/>
        </w:rPr>
        <w:t xml:space="preserve"> in an alternative scenario and the </w:t>
      </w:r>
      <w:r w:rsidR="007144A0">
        <w:rPr>
          <w:rFonts w:asciiTheme="minorHAnsi" w:eastAsia="Times New Roman" w:hAnsiTheme="minorHAnsi" w:cs="Times New Roman"/>
          <w:lang w:eastAsia="en-US"/>
        </w:rPr>
        <w:t>CA</w:t>
      </w:r>
      <w:r w:rsidR="007144A0" w:rsidRPr="00155EC5">
        <w:rPr>
          <w:rFonts w:asciiTheme="minorHAnsi" w:eastAsia="Times New Roman" w:hAnsiTheme="minorHAnsi" w:cs="Times New Roman"/>
          <w:lang w:eastAsia="en-US"/>
        </w:rPr>
        <w:t>PEX</w:t>
      </w:r>
      <w:r w:rsidR="007144A0">
        <w:rPr>
          <w:rFonts w:asciiTheme="minorHAnsi" w:eastAsia="Times New Roman" w:hAnsiTheme="minorHAnsi" w:cs="Times New Roman"/>
          <w:lang w:eastAsia="en-US"/>
        </w:rPr>
        <w:t>-C</w:t>
      </w:r>
      <w:r w:rsidR="007144A0" w:rsidRPr="00155EC5">
        <w:rPr>
          <w:rFonts w:asciiTheme="minorHAnsi" w:eastAsia="Times New Roman" w:hAnsiTheme="minorHAnsi" w:cs="Times New Roman"/>
          <w:lang w:eastAsia="en-US"/>
        </w:rPr>
        <w:t xml:space="preserve"> in the reference scenario. </w:t>
      </w:r>
    </w:p>
    <w:p w14:paraId="32416B72" w14:textId="3C9A4C67" w:rsidR="00A479C2" w:rsidRPr="00A479C2" w:rsidRDefault="00A479C2" w:rsidP="00A479C2">
      <w:pPr>
        <w:numPr>
          <w:ilvl w:val="0"/>
          <w:numId w:val="25"/>
        </w:numPr>
        <w:spacing w:after="120"/>
        <w:jc w:val="both"/>
        <w:rPr>
          <w:rFonts w:asciiTheme="minorHAnsi" w:eastAsia="Times New Roman" w:hAnsiTheme="minorHAnsi" w:cs="Times New Roman"/>
          <w:lang w:eastAsia="en-US"/>
        </w:rPr>
      </w:pPr>
      <w:r w:rsidRPr="00155EC5">
        <w:rPr>
          <w:rFonts w:asciiTheme="minorHAnsi" w:eastAsia="Times New Roman" w:hAnsiTheme="minorHAnsi" w:cs="Times New Roman"/>
          <w:b/>
          <w:lang w:eastAsia="en-US"/>
        </w:rPr>
        <w:t>OPEX</w:t>
      </w:r>
      <w:r>
        <w:rPr>
          <w:rFonts w:asciiTheme="minorHAnsi" w:eastAsia="Times New Roman" w:hAnsiTheme="minorHAnsi" w:cs="Times New Roman"/>
          <w:b/>
          <w:lang w:eastAsia="en-US"/>
        </w:rPr>
        <w:t>-D</w:t>
      </w:r>
      <w:r w:rsidRPr="00155EC5">
        <w:rPr>
          <w:rFonts w:asciiTheme="minorHAnsi" w:eastAsia="Times New Roman" w:hAnsiTheme="minorHAnsi" w:cs="Times New Roman"/>
          <w:lang w:eastAsia="en-US"/>
        </w:rPr>
        <w:t xml:space="preserve">: This is the </w:t>
      </w:r>
      <w:r w:rsidRPr="004F3480">
        <w:rPr>
          <w:rFonts w:asciiTheme="minorHAnsi" w:eastAsia="Times New Roman" w:hAnsiTheme="minorHAnsi" w:cs="Times New Roman"/>
          <w:b/>
          <w:u w:val="single"/>
          <w:lang w:eastAsia="en-US"/>
        </w:rPr>
        <w:t>D</w:t>
      </w:r>
      <w:r w:rsidRPr="004F3480">
        <w:rPr>
          <w:rFonts w:asciiTheme="minorHAnsi" w:eastAsia="Times New Roman" w:hAnsiTheme="minorHAnsi" w:cs="Times New Roman"/>
          <w:u w:val="single"/>
          <w:lang w:eastAsia="en-US"/>
        </w:rPr>
        <w:t>ifference</w:t>
      </w:r>
      <w:r w:rsidRPr="00155EC5">
        <w:rPr>
          <w:rFonts w:asciiTheme="minorHAnsi" w:eastAsia="Times New Roman" w:hAnsiTheme="minorHAnsi" w:cs="Times New Roman"/>
          <w:lang w:eastAsia="en-US"/>
        </w:rPr>
        <w:t xml:space="preserve"> between the OPEX</w:t>
      </w:r>
      <w:r w:rsidR="007144A0">
        <w:rPr>
          <w:rFonts w:asciiTheme="minorHAnsi" w:eastAsia="Times New Roman" w:hAnsiTheme="minorHAnsi" w:cs="Times New Roman"/>
          <w:lang w:eastAsia="en-US"/>
        </w:rPr>
        <w:t>-C</w:t>
      </w:r>
      <w:r w:rsidRPr="00155EC5">
        <w:rPr>
          <w:rFonts w:asciiTheme="minorHAnsi" w:eastAsia="Times New Roman" w:hAnsiTheme="minorHAnsi" w:cs="Times New Roman"/>
          <w:lang w:eastAsia="en-US"/>
        </w:rPr>
        <w:t xml:space="preserve"> in an alternative scenario and the OPEX</w:t>
      </w:r>
      <w:r w:rsidR="007144A0">
        <w:rPr>
          <w:rFonts w:asciiTheme="minorHAnsi" w:eastAsia="Times New Roman" w:hAnsiTheme="minorHAnsi" w:cs="Times New Roman"/>
          <w:lang w:eastAsia="en-US"/>
        </w:rPr>
        <w:t>-C</w:t>
      </w:r>
      <w:r w:rsidRPr="00155EC5">
        <w:rPr>
          <w:rFonts w:asciiTheme="minorHAnsi" w:eastAsia="Times New Roman" w:hAnsiTheme="minorHAnsi" w:cs="Times New Roman"/>
          <w:lang w:eastAsia="en-US"/>
        </w:rPr>
        <w:t xml:space="preserve"> in the reference scenario. </w:t>
      </w:r>
    </w:p>
    <w:p w14:paraId="4D2D5D75" w14:textId="7EF1BFC6" w:rsidR="00155EC5" w:rsidRPr="00155EC5" w:rsidRDefault="00155EC5" w:rsidP="00C348D0">
      <w:pPr>
        <w:numPr>
          <w:ilvl w:val="0"/>
          <w:numId w:val="25"/>
        </w:numPr>
        <w:spacing w:after="120"/>
        <w:jc w:val="both"/>
        <w:rPr>
          <w:rFonts w:asciiTheme="minorHAnsi" w:eastAsia="Times New Roman" w:hAnsiTheme="minorHAnsi" w:cs="Times New Roman"/>
          <w:lang w:val="en-US" w:eastAsia="en-US"/>
        </w:rPr>
      </w:pPr>
      <w:r w:rsidRPr="00155EC5">
        <w:rPr>
          <w:rFonts w:asciiTheme="minorHAnsi" w:eastAsia="Times New Roman" w:hAnsiTheme="minorHAnsi" w:cs="Times New Roman"/>
          <w:b/>
          <w:lang w:val="en-US" w:eastAsia="en-US"/>
        </w:rPr>
        <w:t>Delta</w:t>
      </w:r>
      <w:r w:rsidR="004F3480">
        <w:rPr>
          <w:rFonts w:asciiTheme="minorHAnsi" w:eastAsia="Times New Roman" w:hAnsiTheme="minorHAnsi" w:cs="Times New Roman"/>
          <w:b/>
          <w:lang w:val="en-US" w:eastAsia="en-US"/>
        </w:rPr>
        <w:t>-C</w:t>
      </w:r>
      <w:r w:rsidRPr="00155EC5">
        <w:rPr>
          <w:rFonts w:asciiTheme="minorHAnsi" w:eastAsia="Times New Roman" w:hAnsiTheme="minorHAnsi" w:cs="Times New Roman"/>
          <w:lang w:val="en-US" w:eastAsia="en-US"/>
        </w:rPr>
        <w:t>: This cost represents the cumulative difference in costs along the years</w:t>
      </w:r>
      <w:r w:rsidR="004F3480" w:rsidRPr="004F3480">
        <w:rPr>
          <w:rFonts w:asciiTheme="minorHAnsi" w:eastAsia="Times New Roman" w:hAnsiTheme="minorHAnsi" w:cs="Times New Roman"/>
          <w:b/>
          <w:lang w:val="en-US" w:eastAsia="en-US"/>
        </w:rPr>
        <w:t xml:space="preserve"> </w:t>
      </w:r>
      <w:r w:rsidR="004F3480" w:rsidRPr="004F3480">
        <w:rPr>
          <w:rFonts w:asciiTheme="minorHAnsi" w:eastAsia="Times New Roman" w:hAnsiTheme="minorHAnsi" w:cs="Times New Roman"/>
          <w:lang w:val="en-US" w:eastAsia="en-US"/>
        </w:rPr>
        <w:t xml:space="preserve">for </w:t>
      </w:r>
      <w:r w:rsidR="004F3480" w:rsidRPr="004F3480">
        <w:rPr>
          <w:rFonts w:asciiTheme="minorHAnsi" w:eastAsia="Times New Roman" w:hAnsiTheme="minorHAnsi" w:cs="Times New Roman"/>
          <w:b/>
          <w:u w:val="single"/>
          <w:lang w:val="en-US" w:eastAsia="en-US"/>
        </w:rPr>
        <w:t>C</w:t>
      </w:r>
      <w:r w:rsidR="004F3480" w:rsidRPr="004F3480">
        <w:rPr>
          <w:rFonts w:asciiTheme="minorHAnsi" w:eastAsia="Times New Roman" w:hAnsiTheme="minorHAnsi" w:cs="Times New Roman"/>
          <w:u w:val="single"/>
          <w:lang w:val="en-US" w:eastAsia="en-US"/>
        </w:rPr>
        <w:t>ompletely</w:t>
      </w:r>
      <w:r w:rsidR="004F3480" w:rsidRPr="004F3480">
        <w:rPr>
          <w:rFonts w:asciiTheme="minorHAnsi" w:eastAsia="Times New Roman" w:hAnsiTheme="minorHAnsi" w:cs="Times New Roman"/>
          <w:lang w:val="en-US" w:eastAsia="en-US"/>
        </w:rPr>
        <w:t xml:space="preserve"> new infrastructures</w:t>
      </w:r>
      <w:r w:rsidRPr="004F3480">
        <w:rPr>
          <w:rFonts w:asciiTheme="minorHAnsi" w:eastAsia="Times New Roman" w:hAnsiTheme="minorHAnsi" w:cs="Times New Roman"/>
          <w:lang w:val="en-US" w:eastAsia="en-US"/>
        </w:rPr>
        <w:t>, comparing</w:t>
      </w:r>
      <w:r w:rsidRPr="00155EC5">
        <w:rPr>
          <w:rFonts w:asciiTheme="minorHAnsi" w:eastAsia="Times New Roman" w:hAnsiTheme="minorHAnsi" w:cs="Times New Roman"/>
          <w:lang w:val="en-US" w:eastAsia="en-US"/>
        </w:rPr>
        <w:t xml:space="preserve"> the deployment of a traditional architecture (reference scenario) with the deployment of an EGNOS-based architecture (alternate scenario) from scratch. The same calculus is made for different years (1, 2, 3, 4, 5 and 20) to have an overview of savings or increases in costs.</w:t>
      </w:r>
    </w:p>
    <w:p w14:paraId="60673D8D" w14:textId="77777777" w:rsidR="00155EC5" w:rsidRPr="00155EC5" w:rsidRDefault="00155EC5" w:rsidP="00155EC5">
      <w:pPr>
        <w:spacing w:after="120"/>
        <w:ind w:left="720"/>
        <w:jc w:val="both"/>
        <w:rPr>
          <w:rFonts w:asciiTheme="minorHAnsi" w:eastAsia="Times New Roman" w:hAnsiTheme="minorHAnsi" w:cs="Times New Roman"/>
          <w:lang w:val="en-US" w:eastAsia="en-US"/>
        </w:rPr>
      </w:pPr>
      <w:r w:rsidRPr="00155EC5">
        <w:rPr>
          <w:rFonts w:asciiTheme="minorHAnsi" w:eastAsia="Times New Roman" w:hAnsiTheme="minorHAnsi" w:cs="Times New Roman"/>
          <w:lang w:val="en-US" w:eastAsia="en-US"/>
        </w:rPr>
        <w:t>It has been calculated the difference in CAPEX plus OPEX between the deployment of a reference scenario and the deployment of an alternate scenario with the same number of broadcasting stations.</w:t>
      </w:r>
    </w:p>
    <w:p w14:paraId="73B12136" w14:textId="77777777" w:rsidR="00155EC5" w:rsidRPr="00155EC5" w:rsidRDefault="00155EC5" w:rsidP="00155EC5">
      <w:pPr>
        <w:spacing w:after="120"/>
        <w:ind w:left="720"/>
        <w:jc w:val="both"/>
        <w:rPr>
          <w:rFonts w:asciiTheme="minorHAnsi" w:eastAsia="Times New Roman" w:hAnsiTheme="minorHAnsi" w:cs="Times New Roman"/>
          <w:lang w:val="en-US" w:eastAsia="en-US"/>
        </w:rPr>
      </w:pPr>
      <w:r w:rsidRPr="00155EC5">
        <w:rPr>
          <w:rFonts w:asciiTheme="minorHAnsi" w:eastAsia="Times New Roman" w:hAnsiTheme="minorHAnsi" w:cs="Times New Roman"/>
          <w:color w:val="00B050"/>
          <w:lang w:val="en-US" w:eastAsia="en-US"/>
        </w:rPr>
        <w:t xml:space="preserve">Green cells </w:t>
      </w:r>
      <w:r w:rsidRPr="00155EC5">
        <w:rPr>
          <w:rFonts w:asciiTheme="minorHAnsi" w:eastAsia="Times New Roman" w:hAnsiTheme="minorHAnsi" w:cs="Times New Roman"/>
          <w:lang w:val="en-US" w:eastAsia="en-US"/>
        </w:rPr>
        <w:t xml:space="preserve">represent a cost reduction, while </w:t>
      </w:r>
      <w:r w:rsidRPr="00155EC5">
        <w:rPr>
          <w:rFonts w:asciiTheme="minorHAnsi" w:eastAsia="Times New Roman" w:hAnsiTheme="minorHAnsi" w:cs="Times New Roman"/>
          <w:color w:val="FF0000"/>
          <w:lang w:val="en-US" w:eastAsia="en-US"/>
        </w:rPr>
        <w:t xml:space="preserve">red cells </w:t>
      </w:r>
      <w:r w:rsidRPr="00155EC5">
        <w:rPr>
          <w:rFonts w:asciiTheme="minorHAnsi" w:eastAsia="Times New Roman" w:hAnsiTheme="minorHAnsi" w:cs="Times New Roman"/>
          <w:lang w:val="en-US" w:eastAsia="en-US"/>
        </w:rPr>
        <w:t>mean a cost increase.</w:t>
      </w:r>
    </w:p>
    <w:p w14:paraId="6D541065" w14:textId="199BD583" w:rsidR="00155EC5" w:rsidRPr="00155EC5" w:rsidRDefault="00155EC5" w:rsidP="00C348D0">
      <w:pPr>
        <w:numPr>
          <w:ilvl w:val="0"/>
          <w:numId w:val="25"/>
        </w:numPr>
        <w:spacing w:after="120"/>
        <w:jc w:val="both"/>
        <w:rPr>
          <w:rFonts w:asciiTheme="minorHAnsi" w:eastAsia="Times New Roman" w:hAnsiTheme="minorHAnsi" w:cs="Times New Roman"/>
          <w:lang w:val="en-US" w:eastAsia="en-US"/>
        </w:rPr>
      </w:pPr>
      <w:r w:rsidRPr="00155EC5">
        <w:rPr>
          <w:rFonts w:asciiTheme="minorHAnsi" w:eastAsia="Times New Roman" w:hAnsiTheme="minorHAnsi" w:cs="Times New Roman"/>
          <w:b/>
          <w:lang w:val="en-US" w:eastAsia="en-US"/>
        </w:rPr>
        <w:t>Delta</w:t>
      </w:r>
      <w:r w:rsidR="004F3480">
        <w:rPr>
          <w:rFonts w:asciiTheme="minorHAnsi" w:eastAsia="Times New Roman" w:hAnsiTheme="minorHAnsi" w:cs="Times New Roman"/>
          <w:b/>
          <w:lang w:val="en-US" w:eastAsia="en-US"/>
        </w:rPr>
        <w:t>-U:</w:t>
      </w:r>
      <w:r w:rsidRPr="00155EC5">
        <w:rPr>
          <w:rFonts w:asciiTheme="minorHAnsi" w:eastAsia="Times New Roman" w:hAnsiTheme="minorHAnsi" w:cs="Times New Roman"/>
          <w:b/>
          <w:lang w:val="en-US" w:eastAsia="en-US"/>
        </w:rPr>
        <w:t xml:space="preserve"> </w:t>
      </w:r>
      <w:r w:rsidRPr="00155EC5">
        <w:rPr>
          <w:rFonts w:asciiTheme="minorHAnsi" w:eastAsia="Times New Roman" w:hAnsiTheme="minorHAnsi" w:cs="Times New Roman"/>
          <w:lang w:val="en-US" w:eastAsia="en-US"/>
        </w:rPr>
        <w:t>This cost represents the cumulative difference in costs along the years</w:t>
      </w:r>
      <w:r w:rsidR="004F3480" w:rsidRPr="004F3480">
        <w:rPr>
          <w:rFonts w:asciiTheme="minorHAnsi" w:eastAsia="Times New Roman" w:hAnsiTheme="minorHAnsi" w:cs="Times New Roman"/>
          <w:b/>
          <w:lang w:val="en-US" w:eastAsia="en-US"/>
        </w:rPr>
        <w:t xml:space="preserve"> </w:t>
      </w:r>
      <w:r w:rsidR="004F3480" w:rsidRPr="004F3480">
        <w:rPr>
          <w:rFonts w:asciiTheme="minorHAnsi" w:eastAsia="Times New Roman" w:hAnsiTheme="minorHAnsi" w:cs="Times New Roman"/>
          <w:lang w:val="en-US" w:eastAsia="en-US"/>
        </w:rPr>
        <w:t xml:space="preserve">for infrastructure </w:t>
      </w:r>
      <w:r w:rsidR="00D46862" w:rsidRPr="00D46862">
        <w:rPr>
          <w:rFonts w:asciiTheme="minorHAnsi" w:eastAsia="Times New Roman" w:hAnsiTheme="minorHAnsi" w:cs="Times New Roman"/>
          <w:b/>
          <w:u w:val="single"/>
          <w:lang w:val="en-US" w:eastAsia="en-US"/>
        </w:rPr>
        <w:t>U</w:t>
      </w:r>
      <w:r w:rsidR="004F3480" w:rsidRPr="00D46862">
        <w:rPr>
          <w:rFonts w:asciiTheme="minorHAnsi" w:eastAsia="Times New Roman" w:hAnsiTheme="minorHAnsi" w:cs="Times New Roman"/>
          <w:u w:val="single"/>
          <w:lang w:val="en-US" w:eastAsia="en-US"/>
        </w:rPr>
        <w:t>pgrade</w:t>
      </w:r>
      <w:r w:rsidR="00D46862" w:rsidRPr="00D46862">
        <w:rPr>
          <w:rFonts w:asciiTheme="minorHAnsi" w:eastAsia="Times New Roman" w:hAnsiTheme="minorHAnsi" w:cs="Times New Roman"/>
          <w:u w:val="single"/>
          <w:lang w:val="en-US" w:eastAsia="en-US"/>
        </w:rPr>
        <w:t>s</w:t>
      </w:r>
      <w:r w:rsidRPr="00155EC5">
        <w:rPr>
          <w:rFonts w:asciiTheme="minorHAnsi" w:eastAsia="Times New Roman" w:hAnsiTheme="minorHAnsi" w:cs="Times New Roman"/>
          <w:lang w:val="en-US" w:eastAsia="en-US"/>
        </w:rPr>
        <w:t xml:space="preserve">, comparing the operational costs in a traditional architecture (reference scenario) with the </w:t>
      </w:r>
      <w:r w:rsidRPr="00155EC5">
        <w:rPr>
          <w:rFonts w:asciiTheme="minorHAnsi" w:eastAsia="Times New Roman" w:hAnsiTheme="minorHAnsi" w:cs="Times New Roman"/>
          <w:lang w:val="en-US" w:eastAsia="en-US"/>
        </w:rPr>
        <w:lastRenderedPageBreak/>
        <w:t>investment in upgrading an existing infrastructure to become an EGNOS-based architecture (alternate scenario), including also the operational costs. The same calculus is made for different years (1, 2, 3, 4, 5 and 20) to have an overview of savings or increases in costs.</w:t>
      </w:r>
    </w:p>
    <w:p w14:paraId="4D05F597" w14:textId="77777777" w:rsidR="00155EC5" w:rsidRPr="00155EC5" w:rsidRDefault="00155EC5" w:rsidP="00155EC5">
      <w:pPr>
        <w:spacing w:after="120"/>
        <w:ind w:left="720"/>
        <w:jc w:val="both"/>
        <w:rPr>
          <w:rFonts w:asciiTheme="minorHAnsi" w:eastAsia="Times New Roman" w:hAnsiTheme="minorHAnsi" w:cs="Times New Roman"/>
          <w:lang w:val="en-US" w:eastAsia="en-US"/>
        </w:rPr>
      </w:pPr>
      <w:r w:rsidRPr="00155EC5">
        <w:rPr>
          <w:rFonts w:asciiTheme="minorHAnsi" w:eastAsia="Times New Roman" w:hAnsiTheme="minorHAnsi" w:cs="Times New Roman"/>
          <w:lang w:val="en-US" w:eastAsia="en-US"/>
        </w:rPr>
        <w:t>The first year includes the investment in CAPEX due to the provision of new components and the OPEX associated to the first year of operation. The second year accumulates the expenditures in the first year plus the OPEX associated to the second year of operation (investment in new elements is only considered in the first year). The same rationale is followed for the rest of the years.</w:t>
      </w:r>
    </w:p>
    <w:p w14:paraId="78AB8848" w14:textId="77777777" w:rsidR="00155EC5" w:rsidRDefault="00155EC5" w:rsidP="00155EC5">
      <w:pPr>
        <w:spacing w:after="120"/>
        <w:ind w:left="720"/>
        <w:jc w:val="both"/>
        <w:rPr>
          <w:rFonts w:asciiTheme="minorHAnsi" w:eastAsia="Times New Roman" w:hAnsiTheme="minorHAnsi" w:cs="Times New Roman"/>
          <w:lang w:val="en-US" w:eastAsia="en-US"/>
        </w:rPr>
      </w:pPr>
      <w:r w:rsidRPr="00155EC5">
        <w:rPr>
          <w:rFonts w:asciiTheme="minorHAnsi" w:eastAsia="Times New Roman" w:hAnsiTheme="minorHAnsi" w:cs="Times New Roman"/>
          <w:color w:val="00B050"/>
          <w:lang w:val="en-US" w:eastAsia="en-US"/>
        </w:rPr>
        <w:t xml:space="preserve">Green cells </w:t>
      </w:r>
      <w:r w:rsidRPr="00155EC5">
        <w:rPr>
          <w:rFonts w:asciiTheme="minorHAnsi" w:eastAsia="Times New Roman" w:hAnsiTheme="minorHAnsi" w:cs="Times New Roman"/>
          <w:lang w:val="en-US" w:eastAsia="en-US"/>
        </w:rPr>
        <w:t xml:space="preserve">represent a cost reduction, while </w:t>
      </w:r>
      <w:r w:rsidRPr="00155EC5">
        <w:rPr>
          <w:rFonts w:asciiTheme="minorHAnsi" w:eastAsia="Times New Roman" w:hAnsiTheme="minorHAnsi" w:cs="Times New Roman"/>
          <w:color w:val="FF0000"/>
          <w:lang w:val="en-US" w:eastAsia="en-US"/>
        </w:rPr>
        <w:t xml:space="preserve">red cells </w:t>
      </w:r>
      <w:r w:rsidRPr="00155EC5">
        <w:rPr>
          <w:rFonts w:asciiTheme="minorHAnsi" w:eastAsia="Times New Roman" w:hAnsiTheme="minorHAnsi" w:cs="Times New Roman"/>
          <w:lang w:val="en-US" w:eastAsia="en-US"/>
        </w:rPr>
        <w:t>mean a cost increase.</w:t>
      </w:r>
    </w:p>
    <w:p w14:paraId="6798179B" w14:textId="77777777" w:rsidR="00635EA8" w:rsidRPr="00635EA8" w:rsidRDefault="00635EA8" w:rsidP="00635EA8">
      <w:pPr>
        <w:numPr>
          <w:ilvl w:val="0"/>
          <w:numId w:val="25"/>
        </w:numPr>
        <w:spacing w:after="120"/>
        <w:jc w:val="both"/>
        <w:rPr>
          <w:rFonts w:asciiTheme="minorHAnsi" w:eastAsia="Times New Roman" w:hAnsiTheme="minorHAnsi" w:cs="Times New Roman"/>
          <w:lang w:val="en-US" w:eastAsia="en-US"/>
        </w:rPr>
      </w:pPr>
      <w:r>
        <w:rPr>
          <w:rFonts w:asciiTheme="minorHAnsi" w:eastAsia="Times New Roman" w:hAnsiTheme="minorHAnsi" w:cs="Times New Roman"/>
          <w:b/>
          <w:lang w:val="en-US" w:eastAsia="en-US"/>
        </w:rPr>
        <w:t>Payback</w:t>
      </w:r>
      <w:r w:rsidRPr="00635EA8">
        <w:rPr>
          <w:rFonts w:asciiTheme="minorHAnsi" w:eastAsia="Times New Roman" w:hAnsiTheme="minorHAnsi" w:cs="Times New Roman"/>
          <w:lang w:val="en-US" w:eastAsia="en-US"/>
        </w:rPr>
        <w:t xml:space="preserve">: </w:t>
      </w:r>
      <w:r>
        <w:rPr>
          <w:rFonts w:asciiTheme="minorHAnsi" w:eastAsia="Times New Roman" w:hAnsiTheme="minorHAnsi" w:cs="Times New Roman"/>
          <w:lang w:val="en-US" w:eastAsia="en-US"/>
        </w:rPr>
        <w:t xml:space="preserve">As the first year after an infrastructure upgrade when the investment is recovered and a positive return occurs. </w:t>
      </w:r>
    </w:p>
    <w:p w14:paraId="50CE936A" w14:textId="77777777" w:rsidR="000E355C" w:rsidRDefault="00AF0A9A" w:rsidP="00C348D0">
      <w:pPr>
        <w:pStyle w:val="AnnexHeading1"/>
        <w:keepNext/>
        <w:numPr>
          <w:ilvl w:val="2"/>
          <w:numId w:val="16"/>
        </w:numPr>
      </w:pPr>
      <w:bookmarkStart w:id="10" w:name="_Ref475015688"/>
      <w:r w:rsidRPr="00AF0A9A">
        <w:t>Communications costs assumptions</w:t>
      </w:r>
      <w:bookmarkEnd w:id="10"/>
    </w:p>
    <w:p w14:paraId="1FFA17E3" w14:textId="77777777" w:rsidR="00AF0A9A" w:rsidRPr="00AF0A9A" w:rsidRDefault="00AF0A9A" w:rsidP="00AF0A9A">
      <w:pPr>
        <w:spacing w:after="120"/>
        <w:jc w:val="both"/>
        <w:rPr>
          <w:rFonts w:asciiTheme="minorHAnsi" w:eastAsia="Times New Roman" w:hAnsiTheme="minorHAnsi" w:cs="Times New Roman"/>
          <w:lang w:eastAsia="en-US"/>
        </w:rPr>
      </w:pPr>
      <w:r w:rsidRPr="00AF0A9A">
        <w:rPr>
          <w:rFonts w:asciiTheme="minorHAnsi" w:eastAsia="Times New Roman" w:hAnsiTheme="minorHAnsi" w:cs="Times New Roman"/>
          <w:b/>
          <w:lang w:eastAsia="en-US"/>
        </w:rPr>
        <w:t>Communications’ costs</w:t>
      </w:r>
      <w:r w:rsidRPr="00AF0A9A">
        <w:rPr>
          <w:rFonts w:asciiTheme="minorHAnsi" w:eastAsia="Times New Roman" w:hAnsiTheme="minorHAnsi" w:cs="Times New Roman"/>
          <w:lang w:eastAsia="en-US"/>
        </w:rPr>
        <w:t xml:space="preserve"> are considered as part of the OPEX and the following assumptions have been taken in this analysis:</w:t>
      </w:r>
    </w:p>
    <w:p w14:paraId="587312CA" w14:textId="77777777" w:rsidR="00EF0E38" w:rsidRPr="00137A94" w:rsidRDefault="00EF0E38" w:rsidP="00C348D0">
      <w:pPr>
        <w:numPr>
          <w:ilvl w:val="0"/>
          <w:numId w:val="26"/>
        </w:numPr>
        <w:spacing w:after="120"/>
        <w:ind w:left="720"/>
        <w:jc w:val="both"/>
        <w:rPr>
          <w:rFonts w:asciiTheme="minorHAnsi" w:eastAsia="Times New Roman" w:hAnsiTheme="minorHAnsi" w:cs="Times New Roman"/>
          <w:lang w:eastAsia="en-US"/>
        </w:rPr>
      </w:pPr>
      <w:r w:rsidRPr="00137A94">
        <w:rPr>
          <w:rFonts w:asciiTheme="minorHAnsi" w:eastAsia="Times New Roman" w:hAnsiTheme="minorHAnsi" w:cs="Times New Roman"/>
          <w:lang w:eastAsia="en-US"/>
        </w:rPr>
        <w:t>In the IALA DGNSS case, a</w:t>
      </w:r>
      <w:r w:rsidR="00AF0A9A" w:rsidRPr="00137A94">
        <w:rPr>
          <w:rFonts w:asciiTheme="minorHAnsi" w:eastAsia="Times New Roman" w:hAnsiTheme="minorHAnsi" w:cs="Times New Roman"/>
          <w:lang w:eastAsia="en-US"/>
        </w:rPr>
        <w:t xml:space="preserve">n Internet connection is </w:t>
      </w:r>
      <w:r w:rsidRPr="00137A94">
        <w:rPr>
          <w:rFonts w:asciiTheme="minorHAnsi" w:eastAsia="Times New Roman" w:hAnsiTheme="minorHAnsi" w:cs="Times New Roman"/>
          <w:lang w:eastAsia="en-US"/>
        </w:rPr>
        <w:t>assumed to be</w:t>
      </w:r>
      <w:r w:rsidR="00AF0A9A" w:rsidRPr="00137A94">
        <w:rPr>
          <w:rFonts w:asciiTheme="minorHAnsi" w:eastAsia="Times New Roman" w:hAnsiTheme="minorHAnsi" w:cs="Times New Roman"/>
          <w:lang w:eastAsia="en-US"/>
        </w:rPr>
        <w:t xml:space="preserve"> available at the beacon sites and at the Central Monitoring Centre based on access to public networks. Since dedicated lines are not deployed, there are not a CAPEX associated to communications but an OPEX to account for the Internet access.</w:t>
      </w:r>
      <w:r w:rsidRPr="00137A94">
        <w:rPr>
          <w:rFonts w:asciiTheme="minorHAnsi" w:eastAsia="Times New Roman" w:hAnsiTheme="minorHAnsi" w:cs="Times New Roman"/>
          <w:lang w:eastAsia="en-US"/>
        </w:rPr>
        <w:t xml:space="preserve"> </w:t>
      </w:r>
      <w:r w:rsidR="00137A94">
        <w:rPr>
          <w:rFonts w:asciiTheme="minorHAnsi" w:eastAsia="Times New Roman" w:hAnsiTheme="minorHAnsi" w:cs="Times New Roman"/>
          <w:lang w:eastAsia="en-US"/>
        </w:rPr>
        <w:t>In the AIS architecture, t</w:t>
      </w:r>
      <w:r w:rsidRPr="00137A94">
        <w:rPr>
          <w:rFonts w:asciiTheme="minorHAnsi" w:eastAsia="Times New Roman" w:hAnsiTheme="minorHAnsi" w:cs="Times New Roman"/>
          <w:lang w:eastAsia="en-US"/>
        </w:rPr>
        <w:t>he AIS Base Stations are connected through an IP based communication network with the Central Segment.</w:t>
      </w:r>
    </w:p>
    <w:p w14:paraId="51A4B97B" w14:textId="77777777" w:rsidR="00AF0A9A" w:rsidRPr="00AF0A9A" w:rsidRDefault="00AF0A9A" w:rsidP="00C348D0">
      <w:pPr>
        <w:numPr>
          <w:ilvl w:val="0"/>
          <w:numId w:val="26"/>
        </w:numPr>
        <w:spacing w:after="120"/>
        <w:ind w:left="720"/>
        <w:jc w:val="both"/>
        <w:rPr>
          <w:rFonts w:asciiTheme="minorHAnsi" w:eastAsia="Times New Roman" w:hAnsiTheme="minorHAnsi" w:cs="Times New Roman"/>
          <w:lang w:eastAsia="en-US"/>
        </w:rPr>
      </w:pPr>
      <w:r w:rsidRPr="00AF0A9A">
        <w:rPr>
          <w:rFonts w:asciiTheme="minorHAnsi" w:eastAsia="Times New Roman" w:hAnsiTheme="minorHAnsi" w:cs="Times New Roman"/>
          <w:lang w:eastAsia="en-US"/>
        </w:rPr>
        <w:t>Availability of communications is essential in case of EDAS based architectures and/or centralised proposals. In such cases it has been assumed a cost increment in the OPEX, due to the upgrade of the contract with the ISP</w:t>
      </w:r>
      <w:r w:rsidR="00C052D8">
        <w:rPr>
          <w:rFonts w:asciiTheme="minorHAnsi" w:eastAsia="Times New Roman" w:hAnsiTheme="minorHAnsi" w:cs="Times New Roman"/>
          <w:lang w:eastAsia="en-US"/>
        </w:rPr>
        <w:t xml:space="preserve"> </w:t>
      </w:r>
      <w:r w:rsidR="00C052D8">
        <w:rPr>
          <w:rFonts w:asciiTheme="minorHAnsi" w:hAnsiTheme="minorHAnsi"/>
        </w:rPr>
        <w:t>(Internet Service Provider)</w:t>
      </w:r>
      <w:r w:rsidRPr="00AF0A9A">
        <w:rPr>
          <w:rFonts w:asciiTheme="minorHAnsi" w:eastAsia="Times New Roman" w:hAnsiTheme="minorHAnsi" w:cs="Times New Roman"/>
          <w:lang w:eastAsia="en-US"/>
        </w:rPr>
        <w:t>, to reinforce reliability of the connection and increased data volume.</w:t>
      </w:r>
    </w:p>
    <w:p w14:paraId="376C8551" w14:textId="77777777" w:rsidR="00AF0A9A" w:rsidRPr="00AF0A9A" w:rsidRDefault="00AF0A9A" w:rsidP="00C348D0">
      <w:pPr>
        <w:numPr>
          <w:ilvl w:val="0"/>
          <w:numId w:val="26"/>
        </w:numPr>
        <w:spacing w:after="120"/>
        <w:ind w:left="720"/>
        <w:jc w:val="both"/>
        <w:rPr>
          <w:rFonts w:asciiTheme="minorHAnsi" w:eastAsia="Times New Roman" w:hAnsiTheme="minorHAnsi" w:cs="Times New Roman"/>
          <w:lang w:eastAsia="en-US"/>
        </w:rPr>
      </w:pPr>
      <w:r w:rsidRPr="00AF0A9A">
        <w:rPr>
          <w:rFonts w:asciiTheme="minorHAnsi" w:eastAsia="Times New Roman" w:hAnsiTheme="minorHAnsi" w:cs="Times New Roman"/>
          <w:lang w:eastAsia="en-US"/>
        </w:rPr>
        <w:t>To be noted that prices can differ up to 400% among European countries, according to EC studies</w:t>
      </w:r>
      <w:r w:rsidRPr="00AF0A9A">
        <w:rPr>
          <w:rFonts w:asciiTheme="minorHAnsi" w:eastAsia="Times New Roman" w:hAnsiTheme="minorHAnsi" w:cs="Times New Roman"/>
          <w:vertAlign w:val="superscript"/>
          <w:lang w:eastAsia="en-US"/>
        </w:rPr>
        <w:footnoteReference w:id="3"/>
      </w:r>
      <w:r w:rsidRPr="00AF0A9A">
        <w:rPr>
          <w:rFonts w:asciiTheme="minorHAnsi" w:eastAsia="Times New Roman" w:hAnsiTheme="minorHAnsi" w:cs="Times New Roman"/>
          <w:lang w:eastAsia="en-US"/>
        </w:rPr>
        <w:t>. These differences make it difficult to establish a common price for a generic costs analysis.</w:t>
      </w:r>
    </w:p>
    <w:p w14:paraId="594341E7" w14:textId="77777777" w:rsidR="00AF0A9A" w:rsidRPr="00AF0A9A" w:rsidRDefault="00AF0A9A" w:rsidP="00C348D0">
      <w:pPr>
        <w:numPr>
          <w:ilvl w:val="0"/>
          <w:numId w:val="26"/>
        </w:numPr>
        <w:spacing w:after="120"/>
        <w:ind w:left="720"/>
        <w:jc w:val="both"/>
        <w:rPr>
          <w:rFonts w:asciiTheme="minorHAnsi" w:eastAsia="Times New Roman" w:hAnsiTheme="minorHAnsi" w:cs="Times New Roman"/>
          <w:lang w:eastAsia="en-US"/>
        </w:rPr>
      </w:pPr>
      <w:r w:rsidRPr="00AF0A9A">
        <w:rPr>
          <w:rFonts w:asciiTheme="minorHAnsi" w:eastAsia="Times New Roman" w:hAnsiTheme="minorHAnsi" w:cs="Times New Roman"/>
          <w:lang w:eastAsia="en-US"/>
        </w:rPr>
        <w:t>Current estimated prices (OPEX):</w:t>
      </w:r>
    </w:p>
    <w:p w14:paraId="04440DB8" w14:textId="77777777" w:rsidR="00AF0A9A" w:rsidRPr="00AF0A9A" w:rsidRDefault="00AF0A9A" w:rsidP="00C348D0">
      <w:pPr>
        <w:numPr>
          <w:ilvl w:val="1"/>
          <w:numId w:val="26"/>
        </w:numPr>
        <w:spacing w:after="120"/>
        <w:ind w:left="1440"/>
        <w:jc w:val="both"/>
        <w:rPr>
          <w:rFonts w:asciiTheme="minorHAnsi" w:eastAsia="Times New Roman" w:hAnsiTheme="minorHAnsi" w:cs="Times New Roman"/>
          <w:lang w:eastAsia="en-US"/>
        </w:rPr>
      </w:pPr>
      <w:r w:rsidRPr="00AF0A9A">
        <w:rPr>
          <w:rFonts w:asciiTheme="minorHAnsi" w:eastAsia="Times New Roman" w:hAnsiTheme="minorHAnsi" w:cs="Times New Roman"/>
          <w:lang w:eastAsia="en-US"/>
        </w:rPr>
        <w:t xml:space="preserve">At each beacon: </w:t>
      </w:r>
      <w:r w:rsidR="0078157A">
        <w:rPr>
          <w:rFonts w:asciiTheme="minorHAnsi" w:eastAsia="Times New Roman" w:hAnsiTheme="minorHAnsi" w:cs="Times New Roman"/>
          <w:lang w:eastAsia="en-US"/>
        </w:rPr>
        <w:t>“</w:t>
      </w:r>
      <w:r w:rsidRPr="00AF0A9A">
        <w:rPr>
          <w:rFonts w:asciiTheme="minorHAnsi" w:eastAsia="Times New Roman" w:hAnsiTheme="minorHAnsi" w:cs="Times New Roman"/>
          <w:lang w:eastAsia="en-US"/>
        </w:rPr>
        <w:t>Basic Internet connection</w:t>
      </w:r>
      <w:r w:rsidR="0078157A">
        <w:rPr>
          <w:rFonts w:asciiTheme="minorHAnsi" w:eastAsia="Times New Roman" w:hAnsiTheme="minorHAnsi" w:cs="Times New Roman"/>
          <w:lang w:eastAsia="en-US"/>
        </w:rPr>
        <w:t>”</w:t>
      </w:r>
      <w:r w:rsidRPr="00AF0A9A">
        <w:rPr>
          <w:rFonts w:asciiTheme="minorHAnsi" w:eastAsia="Times New Roman" w:hAnsiTheme="minorHAnsi" w:cs="Times New Roman"/>
          <w:lang w:eastAsia="en-US"/>
        </w:rPr>
        <w:t>.</w:t>
      </w:r>
    </w:p>
    <w:p w14:paraId="41CEF44E" w14:textId="77777777" w:rsidR="00AF0A9A" w:rsidRPr="00AF0A9A" w:rsidRDefault="00AF0A9A" w:rsidP="00C348D0">
      <w:pPr>
        <w:numPr>
          <w:ilvl w:val="1"/>
          <w:numId w:val="26"/>
        </w:numPr>
        <w:spacing w:after="120"/>
        <w:ind w:left="1440"/>
        <w:jc w:val="both"/>
        <w:rPr>
          <w:rFonts w:asciiTheme="minorHAnsi" w:eastAsia="Times New Roman" w:hAnsiTheme="minorHAnsi" w:cs="Times New Roman"/>
          <w:lang w:eastAsia="en-US"/>
        </w:rPr>
      </w:pPr>
      <w:r w:rsidRPr="00AF0A9A">
        <w:rPr>
          <w:rFonts w:asciiTheme="minorHAnsi" w:eastAsia="Times New Roman" w:hAnsiTheme="minorHAnsi" w:cs="Times New Roman"/>
          <w:lang w:eastAsia="en-US"/>
        </w:rPr>
        <w:t xml:space="preserve">At Central Monitoring Centre: </w:t>
      </w:r>
      <w:r w:rsidR="0078157A">
        <w:rPr>
          <w:rFonts w:asciiTheme="minorHAnsi" w:eastAsia="Times New Roman" w:hAnsiTheme="minorHAnsi" w:cs="Times New Roman"/>
          <w:lang w:eastAsia="en-US"/>
        </w:rPr>
        <w:t>“</w:t>
      </w:r>
      <w:r w:rsidRPr="00AF0A9A">
        <w:rPr>
          <w:rFonts w:asciiTheme="minorHAnsi" w:eastAsia="Times New Roman" w:hAnsiTheme="minorHAnsi" w:cs="Times New Roman"/>
          <w:lang w:eastAsia="en-US"/>
        </w:rPr>
        <w:t>Broadband Internet connection</w:t>
      </w:r>
      <w:r w:rsidR="0078157A">
        <w:rPr>
          <w:rFonts w:asciiTheme="minorHAnsi" w:eastAsia="Times New Roman" w:hAnsiTheme="minorHAnsi" w:cs="Times New Roman"/>
          <w:lang w:eastAsia="en-US"/>
        </w:rPr>
        <w:t>”</w:t>
      </w:r>
      <w:r w:rsidRPr="00AF0A9A">
        <w:rPr>
          <w:rFonts w:asciiTheme="minorHAnsi" w:eastAsia="Times New Roman" w:hAnsiTheme="minorHAnsi" w:cs="Times New Roman"/>
          <w:lang w:eastAsia="en-US"/>
        </w:rPr>
        <w:t>.</w:t>
      </w:r>
    </w:p>
    <w:p w14:paraId="3B7F3179" w14:textId="77777777" w:rsidR="00AF0A9A" w:rsidRPr="00AF0A9A" w:rsidRDefault="00AF0A9A" w:rsidP="00C348D0">
      <w:pPr>
        <w:numPr>
          <w:ilvl w:val="0"/>
          <w:numId w:val="26"/>
        </w:numPr>
        <w:spacing w:after="120"/>
        <w:ind w:left="720"/>
        <w:jc w:val="both"/>
        <w:rPr>
          <w:rFonts w:asciiTheme="minorHAnsi" w:eastAsia="Times New Roman" w:hAnsiTheme="minorHAnsi" w:cs="Times New Roman"/>
          <w:lang w:eastAsia="en-US"/>
        </w:rPr>
      </w:pPr>
      <w:r w:rsidRPr="00AF0A9A">
        <w:rPr>
          <w:rFonts w:asciiTheme="minorHAnsi" w:eastAsia="Times New Roman" w:hAnsiTheme="minorHAnsi" w:cs="Times New Roman"/>
          <w:lang w:eastAsia="en-US"/>
        </w:rPr>
        <w:t>Estimated prices for the upgrade in case of full-EDAS based architectures and/or full-centralised proposals (OPEX):</w:t>
      </w:r>
    </w:p>
    <w:p w14:paraId="1999C055" w14:textId="77777777" w:rsidR="00AF0A9A" w:rsidRPr="00AF0A9A" w:rsidRDefault="00AF0A9A" w:rsidP="00C348D0">
      <w:pPr>
        <w:numPr>
          <w:ilvl w:val="1"/>
          <w:numId w:val="26"/>
        </w:numPr>
        <w:spacing w:after="120"/>
        <w:ind w:left="1440"/>
        <w:jc w:val="both"/>
        <w:rPr>
          <w:rFonts w:asciiTheme="minorHAnsi" w:eastAsia="Times New Roman" w:hAnsiTheme="minorHAnsi" w:cs="Times New Roman"/>
          <w:lang w:eastAsia="en-US"/>
        </w:rPr>
      </w:pPr>
      <w:r w:rsidRPr="00AF0A9A">
        <w:rPr>
          <w:rFonts w:asciiTheme="minorHAnsi" w:eastAsia="Times New Roman" w:hAnsiTheme="minorHAnsi" w:cs="Times New Roman"/>
          <w:lang w:eastAsia="en-US"/>
        </w:rPr>
        <w:t>At each beacon: High av</w:t>
      </w:r>
      <w:r w:rsidR="0078157A">
        <w:rPr>
          <w:rFonts w:asciiTheme="minorHAnsi" w:eastAsia="Times New Roman" w:hAnsiTheme="minorHAnsi" w:cs="Times New Roman"/>
          <w:lang w:eastAsia="en-US"/>
        </w:rPr>
        <w:t>ailability Internet connection, with a cost 5 times higher than “Basic Internet connection”</w:t>
      </w:r>
      <w:r w:rsidRPr="00AF0A9A">
        <w:rPr>
          <w:rFonts w:asciiTheme="minorHAnsi" w:eastAsia="Times New Roman" w:hAnsiTheme="minorHAnsi" w:cs="Times New Roman"/>
          <w:lang w:eastAsia="en-US"/>
        </w:rPr>
        <w:t>.</w:t>
      </w:r>
    </w:p>
    <w:p w14:paraId="3A743A65" w14:textId="77777777" w:rsidR="00AF0A9A" w:rsidRPr="00AF0A9A" w:rsidRDefault="00AF0A9A" w:rsidP="00C348D0">
      <w:pPr>
        <w:numPr>
          <w:ilvl w:val="1"/>
          <w:numId w:val="26"/>
        </w:numPr>
        <w:spacing w:after="120"/>
        <w:ind w:left="1440"/>
        <w:jc w:val="both"/>
        <w:rPr>
          <w:rFonts w:asciiTheme="minorHAnsi" w:eastAsia="Times New Roman" w:hAnsiTheme="minorHAnsi" w:cs="Times New Roman"/>
          <w:lang w:eastAsia="en-US"/>
        </w:rPr>
      </w:pPr>
      <w:r w:rsidRPr="00AF0A9A">
        <w:rPr>
          <w:rFonts w:asciiTheme="minorHAnsi" w:eastAsia="Times New Roman" w:hAnsiTheme="minorHAnsi" w:cs="Times New Roman"/>
          <w:lang w:eastAsia="en-US"/>
        </w:rPr>
        <w:t xml:space="preserve">At Central Monitoring Centre: Broadband Internet connection with improved </w:t>
      </w:r>
      <w:r w:rsidR="0078157A">
        <w:rPr>
          <w:rFonts w:asciiTheme="minorHAnsi" w:eastAsia="Times New Roman" w:hAnsiTheme="minorHAnsi" w:cs="Times New Roman"/>
          <w:lang w:eastAsia="en-US"/>
        </w:rPr>
        <w:t>availability and bandwidth, with a cost 2 times higher than just “</w:t>
      </w:r>
      <w:r w:rsidR="0078157A" w:rsidRPr="00AF0A9A">
        <w:rPr>
          <w:rFonts w:asciiTheme="minorHAnsi" w:eastAsia="Times New Roman" w:hAnsiTheme="minorHAnsi" w:cs="Times New Roman"/>
          <w:lang w:eastAsia="en-US"/>
        </w:rPr>
        <w:t>Broadband Internet connection</w:t>
      </w:r>
      <w:r w:rsidR="0078157A">
        <w:rPr>
          <w:rFonts w:asciiTheme="minorHAnsi" w:eastAsia="Times New Roman" w:hAnsiTheme="minorHAnsi" w:cs="Times New Roman"/>
          <w:lang w:eastAsia="en-US"/>
        </w:rPr>
        <w:t>”</w:t>
      </w:r>
      <w:r w:rsidRPr="00AF0A9A">
        <w:rPr>
          <w:rFonts w:asciiTheme="minorHAnsi" w:eastAsia="Times New Roman" w:hAnsiTheme="minorHAnsi" w:cs="Times New Roman"/>
          <w:lang w:eastAsia="en-US"/>
        </w:rPr>
        <w:t>.</w:t>
      </w:r>
    </w:p>
    <w:p w14:paraId="17F11367" w14:textId="77777777" w:rsidR="00AF0A9A" w:rsidRPr="00155EC5" w:rsidRDefault="00AF0A9A" w:rsidP="000E355C">
      <w:pPr>
        <w:pStyle w:val="BodyText"/>
        <w:rPr>
          <w:lang w:val="en-US"/>
        </w:rPr>
      </w:pPr>
    </w:p>
    <w:p w14:paraId="168220AD" w14:textId="77777777" w:rsidR="006A7680" w:rsidRDefault="00F01601" w:rsidP="00ED711C">
      <w:pPr>
        <w:pStyle w:val="AnnexHeading1"/>
      </w:pPr>
      <w:bookmarkStart w:id="11" w:name="_Ref475354658"/>
      <w:r>
        <w:t xml:space="preserve">EGNOS OVER IALA BEACONS: </w:t>
      </w:r>
      <w:r w:rsidR="00D2242B">
        <w:t>Generic Cost Assessment</w:t>
      </w:r>
      <w:bookmarkEnd w:id="11"/>
      <w:r w:rsidR="009260AA">
        <w:t xml:space="preserve"> </w:t>
      </w:r>
    </w:p>
    <w:p w14:paraId="192C408D" w14:textId="77777777" w:rsidR="00D2242B" w:rsidRPr="004649AD" w:rsidRDefault="00D2242B" w:rsidP="00C348D0">
      <w:pPr>
        <w:pStyle w:val="AnnexHeading1"/>
        <w:numPr>
          <w:ilvl w:val="1"/>
          <w:numId w:val="16"/>
        </w:numPr>
        <w:rPr>
          <w:lang w:val="it-IT"/>
        </w:rPr>
      </w:pPr>
      <w:r w:rsidRPr="004649AD">
        <w:rPr>
          <w:lang w:val="it-IT"/>
        </w:rPr>
        <w:t>Reference scenario: baseline IALA DGNSS infrastructure</w:t>
      </w:r>
    </w:p>
    <w:p w14:paraId="51B5216F" w14:textId="77777777" w:rsidR="004A5530" w:rsidRPr="00B978B4" w:rsidRDefault="00134C21" w:rsidP="004A5530">
      <w:pPr>
        <w:keepNext/>
        <w:jc w:val="center"/>
      </w:pPr>
      <w:r>
        <w:rPr>
          <w:noProof/>
          <w:lang w:val="en-IE" w:eastAsia="en-IE"/>
        </w:rPr>
        <w:lastRenderedPageBreak/>
        <w:drawing>
          <wp:inline distT="0" distB="0" distL="0" distR="0" wp14:anchorId="5033277F" wp14:editId="557F2660">
            <wp:extent cx="5043600" cy="37980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3600" cy="3798000"/>
                    </a:xfrm>
                    <a:prstGeom prst="rect">
                      <a:avLst/>
                    </a:prstGeom>
                    <a:noFill/>
                    <a:ln>
                      <a:noFill/>
                    </a:ln>
                  </pic:spPr>
                </pic:pic>
              </a:graphicData>
            </a:graphic>
          </wp:inline>
        </w:drawing>
      </w:r>
    </w:p>
    <w:p w14:paraId="2CD092B7" w14:textId="77777777" w:rsidR="004A5530" w:rsidRPr="00EC293C" w:rsidRDefault="004A5530" w:rsidP="004A5530">
      <w:pPr>
        <w:pStyle w:val="Figure"/>
        <w:rPr>
          <w:rFonts w:ascii="Calibri" w:hAnsi="Calibri"/>
        </w:rPr>
      </w:pPr>
      <w:r>
        <w:rPr>
          <w:rFonts w:ascii="Calibri" w:hAnsi="Calibri"/>
        </w:rPr>
        <w:t>Baseline/c</w:t>
      </w:r>
      <w:r w:rsidRPr="00EC293C">
        <w:rPr>
          <w:rFonts w:ascii="Calibri" w:hAnsi="Calibri"/>
        </w:rPr>
        <w:t>urrent IALA Architecture</w:t>
      </w:r>
    </w:p>
    <w:p w14:paraId="589945D4" w14:textId="77777777" w:rsidR="00F65B16" w:rsidRDefault="00F65B16" w:rsidP="00C348D0">
      <w:pPr>
        <w:pStyle w:val="AnnexHeading1"/>
        <w:numPr>
          <w:ilvl w:val="1"/>
          <w:numId w:val="16"/>
        </w:numPr>
        <w:rPr>
          <w:lang w:val="en-US"/>
        </w:rPr>
      </w:pPr>
      <w:r>
        <w:rPr>
          <w:lang w:val="en-US"/>
        </w:rPr>
        <w:t>Alternate scenarios:</w:t>
      </w:r>
      <w:r w:rsidRPr="00F65B16">
        <w:rPr>
          <w:lang w:val="en-US"/>
        </w:rPr>
        <w:t xml:space="preserve"> Cost analysis of the EGNOS over IALA DGNSS options</w:t>
      </w:r>
    </w:p>
    <w:p w14:paraId="0B18BD92" w14:textId="77777777" w:rsidR="00F65B16" w:rsidRDefault="00F65B16" w:rsidP="00F65B16">
      <w:pPr>
        <w:pStyle w:val="BodyText"/>
      </w:pPr>
      <w:r w:rsidRPr="00F65B16">
        <w:t xml:space="preserve">This section provides </w:t>
      </w:r>
      <w:r w:rsidR="00296DF5">
        <w:t xml:space="preserve">qualitative costs analysis results </w:t>
      </w:r>
      <w:r w:rsidRPr="00F65B16">
        <w:t xml:space="preserve">that the proposed modifications to use EGNOS over IALA DGNSS implies with respect to the current scenario. The alternate scenarios are the ones proposed in the </w:t>
      </w:r>
      <w:r>
        <w:t>ENAV19-13.13 input paper</w:t>
      </w:r>
      <w:r w:rsidR="00C723D7">
        <w:t xml:space="preserve"> </w:t>
      </w:r>
      <w:r w:rsidR="00C723D7">
        <w:fldChar w:fldCharType="begin"/>
      </w:r>
      <w:r w:rsidR="00C723D7">
        <w:instrText xml:space="preserve"> REF _Ref475008615 \r \h </w:instrText>
      </w:r>
      <w:r w:rsidR="00C723D7">
        <w:fldChar w:fldCharType="separate"/>
      </w:r>
      <w:r w:rsidR="00C723D7">
        <w:t>[1]</w:t>
      </w:r>
      <w:r w:rsidR="00C723D7">
        <w:fldChar w:fldCharType="end"/>
      </w:r>
      <w:r>
        <w:t xml:space="preserve">. It is highly recommended to follow the architectures description </w:t>
      </w:r>
      <w:r w:rsidR="00C723D7">
        <w:t>in such document</w:t>
      </w:r>
      <w:r>
        <w:t xml:space="preserve"> for a better understanding. </w:t>
      </w:r>
    </w:p>
    <w:p w14:paraId="4F2D3E90" w14:textId="77777777" w:rsidR="00F65B16" w:rsidRPr="00306691" w:rsidRDefault="00306691" w:rsidP="00C348D0">
      <w:pPr>
        <w:pStyle w:val="AnnexHeading1"/>
        <w:keepNext/>
        <w:numPr>
          <w:ilvl w:val="2"/>
          <w:numId w:val="16"/>
        </w:numPr>
      </w:pPr>
      <w:r w:rsidRPr="00306691">
        <w:lastRenderedPageBreak/>
        <w:t>Hybrid Decentralised Architecture: Traditional DGNSS + SISNeT Based</w:t>
      </w:r>
    </w:p>
    <w:p w14:paraId="15C600D1" w14:textId="77777777" w:rsidR="004A5530" w:rsidRDefault="004A5530" w:rsidP="004A5530">
      <w:pPr>
        <w:jc w:val="center"/>
      </w:pPr>
      <w:r>
        <w:rPr>
          <w:noProof/>
          <w:lang w:val="en-IE" w:eastAsia="en-IE"/>
        </w:rPr>
        <w:drawing>
          <wp:inline distT="0" distB="0" distL="0" distR="0" wp14:anchorId="09F018A8" wp14:editId="5AEE8819">
            <wp:extent cx="5068800" cy="381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68800" cy="3819600"/>
                    </a:xfrm>
                    <a:prstGeom prst="rect">
                      <a:avLst/>
                    </a:prstGeom>
                    <a:noFill/>
                  </pic:spPr>
                </pic:pic>
              </a:graphicData>
            </a:graphic>
          </wp:inline>
        </w:drawing>
      </w:r>
    </w:p>
    <w:p w14:paraId="681A17FB" w14:textId="77777777" w:rsidR="004A5530" w:rsidRPr="005F1E17" w:rsidRDefault="004A5530" w:rsidP="004A5530">
      <w:pPr>
        <w:pStyle w:val="Figure"/>
        <w:rPr>
          <w:rFonts w:ascii="Calibri" w:hAnsi="Calibri"/>
        </w:rPr>
      </w:pPr>
      <w:r w:rsidRPr="005F1E17">
        <w:rPr>
          <w:rFonts w:ascii="Calibri" w:hAnsi="Calibri"/>
        </w:rPr>
        <w:t>Hybrid Decentralised Architecture: Traditional DGNSS + SISNeT Based</w:t>
      </w:r>
    </w:p>
    <w:p w14:paraId="4C16F204" w14:textId="77777777" w:rsidR="004A5530" w:rsidRPr="004A5530" w:rsidRDefault="00975882" w:rsidP="004A5530">
      <w:pPr>
        <w:spacing w:after="120"/>
        <w:rPr>
          <w:rFonts w:asciiTheme="minorHAnsi" w:hAnsiTheme="minorHAnsi"/>
          <w:lang w:val="en-US"/>
        </w:rPr>
      </w:pPr>
      <w:r>
        <w:rPr>
          <w:rFonts w:asciiTheme="minorHAnsi" w:hAnsiTheme="minorHAnsi"/>
          <w:lang w:val="en-US"/>
        </w:rPr>
        <w:t>Qualitative c</w:t>
      </w:r>
      <w:r w:rsidRPr="004A5530">
        <w:rPr>
          <w:rFonts w:asciiTheme="minorHAnsi" w:hAnsiTheme="minorHAnsi"/>
          <w:lang w:val="en-US"/>
        </w:rPr>
        <w:t>osts analysis</w:t>
      </w:r>
      <w:r>
        <w:rPr>
          <w:rFonts w:asciiTheme="minorHAnsi" w:hAnsiTheme="minorHAnsi"/>
          <w:lang w:val="en-US"/>
        </w:rPr>
        <w:t xml:space="preserve"> results</w:t>
      </w:r>
      <w:r w:rsidRPr="004A5530">
        <w:rPr>
          <w:rFonts w:asciiTheme="minorHAnsi" w:hAnsiTheme="minorHAnsi"/>
          <w:lang w:val="en-US"/>
        </w:rPr>
        <w:t>:</w:t>
      </w:r>
    </w:p>
    <w:p w14:paraId="274F6AA2" w14:textId="77777777" w:rsidR="004A5530" w:rsidRPr="004A5530" w:rsidRDefault="004A5530" w:rsidP="007237D1">
      <w:pPr>
        <w:pStyle w:val="ListParagraph"/>
        <w:numPr>
          <w:ilvl w:val="0"/>
          <w:numId w:val="27"/>
        </w:numPr>
        <w:spacing w:after="120"/>
        <w:contextualSpacing w:val="0"/>
        <w:jc w:val="both"/>
        <w:rPr>
          <w:rFonts w:asciiTheme="minorHAnsi" w:hAnsiTheme="minorHAnsi"/>
          <w:lang w:val="en-US"/>
        </w:rPr>
      </w:pPr>
      <w:r w:rsidRPr="004A5530">
        <w:rPr>
          <w:rFonts w:asciiTheme="minorHAnsi" w:hAnsiTheme="minorHAnsi"/>
          <w:lang w:val="en-US"/>
        </w:rPr>
        <w:t xml:space="preserve">CAPEX in a completely new infrastructure based on EGNOS is slightly lower compared to CAPEX in the reference scenario. </w:t>
      </w:r>
    </w:p>
    <w:p w14:paraId="2CBA80E6" w14:textId="77777777" w:rsidR="004A5530" w:rsidRPr="004A5530" w:rsidRDefault="004A5530" w:rsidP="007237D1">
      <w:pPr>
        <w:pStyle w:val="ListParagraph"/>
        <w:numPr>
          <w:ilvl w:val="0"/>
          <w:numId w:val="27"/>
        </w:numPr>
        <w:spacing w:after="120"/>
        <w:contextualSpacing w:val="0"/>
        <w:jc w:val="both"/>
        <w:rPr>
          <w:rFonts w:asciiTheme="minorHAnsi" w:hAnsiTheme="minorHAnsi"/>
          <w:lang w:val="en-US"/>
        </w:rPr>
      </w:pPr>
      <w:r w:rsidRPr="004A5530">
        <w:rPr>
          <w:rFonts w:asciiTheme="minorHAnsi" w:hAnsiTheme="minorHAnsi"/>
          <w:lang w:val="en-US"/>
        </w:rPr>
        <w:t>The removal of components on site entails a reduction in the maintenance costs. Standard communication lines r</w:t>
      </w:r>
      <w:r w:rsidR="00EA2CC6">
        <w:rPr>
          <w:rFonts w:asciiTheme="minorHAnsi" w:hAnsiTheme="minorHAnsi"/>
          <w:lang w:val="en-US"/>
        </w:rPr>
        <w:t xml:space="preserve">emains unchanged at each beacon. </w:t>
      </w:r>
      <w:r w:rsidRPr="004A5530">
        <w:rPr>
          <w:rFonts w:asciiTheme="minorHAnsi" w:hAnsiTheme="minorHAnsi"/>
          <w:lang w:val="en-US"/>
        </w:rPr>
        <w:t>Therefore</w:t>
      </w:r>
      <w:r w:rsidR="00EA2CC6">
        <w:rPr>
          <w:rFonts w:asciiTheme="minorHAnsi" w:hAnsiTheme="minorHAnsi"/>
          <w:lang w:val="en-US"/>
        </w:rPr>
        <w:t>,</w:t>
      </w:r>
      <w:r w:rsidRPr="004A5530">
        <w:rPr>
          <w:rFonts w:asciiTheme="minorHAnsi" w:hAnsiTheme="minorHAnsi"/>
          <w:lang w:val="en-US"/>
        </w:rPr>
        <w:t xml:space="preserve"> OPEX decreases in the EGNOS-based option.</w:t>
      </w:r>
    </w:p>
    <w:p w14:paraId="09EFCC4D" w14:textId="77777777" w:rsidR="004A5530" w:rsidRPr="004A5530" w:rsidRDefault="00EA2CC6" w:rsidP="007237D1">
      <w:pPr>
        <w:pStyle w:val="ListParagraph"/>
        <w:numPr>
          <w:ilvl w:val="0"/>
          <w:numId w:val="27"/>
        </w:numPr>
        <w:spacing w:after="120"/>
        <w:contextualSpacing w:val="0"/>
        <w:jc w:val="both"/>
        <w:rPr>
          <w:rFonts w:asciiTheme="minorHAnsi" w:hAnsiTheme="minorHAnsi"/>
          <w:lang w:val="en-US"/>
        </w:rPr>
      </w:pPr>
      <w:r>
        <w:rPr>
          <w:rFonts w:asciiTheme="minorHAnsi" w:hAnsiTheme="minorHAnsi"/>
          <w:lang w:val="en-US"/>
        </w:rPr>
        <w:t xml:space="preserve">The </w:t>
      </w:r>
      <w:r w:rsidR="0052510B">
        <w:rPr>
          <w:rFonts w:asciiTheme="minorHAnsi" w:hAnsiTheme="minorHAnsi"/>
          <w:lang w:val="en-US"/>
        </w:rPr>
        <w:t>payback</w:t>
      </w:r>
      <w:r w:rsidR="004A5530" w:rsidRPr="004A5530">
        <w:rPr>
          <w:rFonts w:asciiTheme="minorHAnsi" w:hAnsiTheme="minorHAnsi"/>
          <w:lang w:val="en-US"/>
        </w:rPr>
        <w:t xml:space="preserve"> due to the savings in OPEX happens as of the 5</w:t>
      </w:r>
      <w:r w:rsidR="004A5530" w:rsidRPr="004A5530">
        <w:rPr>
          <w:rFonts w:asciiTheme="minorHAnsi" w:hAnsiTheme="minorHAnsi"/>
          <w:vertAlign w:val="superscript"/>
          <w:lang w:val="en-US"/>
        </w:rPr>
        <w:t>th</w:t>
      </w:r>
      <w:r w:rsidR="004A5530" w:rsidRPr="004A5530">
        <w:rPr>
          <w:rFonts w:asciiTheme="minorHAnsi" w:hAnsiTheme="minorHAnsi"/>
          <w:lang w:val="en-US"/>
        </w:rPr>
        <w:t xml:space="preserve"> year since the infrastructure upgrade</w:t>
      </w:r>
      <w:r w:rsidR="00D77321">
        <w:rPr>
          <w:rFonts w:asciiTheme="minorHAnsi" w:hAnsiTheme="minorHAnsi"/>
          <w:lang w:val="en-US"/>
        </w:rPr>
        <w:t xml:space="preserve"> in all the study cases </w:t>
      </w:r>
      <w:r w:rsidR="00D77321" w:rsidRPr="00155EC5">
        <w:rPr>
          <w:rFonts w:asciiTheme="minorHAnsi" w:eastAsia="Times New Roman" w:hAnsiTheme="minorHAnsi" w:cs="Times New Roman"/>
          <w:lang w:eastAsia="en-US"/>
        </w:rPr>
        <w:t>(1, 5, 10, 15 and 20</w:t>
      </w:r>
      <w:r w:rsidR="00D77321">
        <w:rPr>
          <w:rFonts w:asciiTheme="minorHAnsi" w:eastAsia="Times New Roman" w:hAnsiTheme="minorHAnsi" w:cs="Times New Roman"/>
          <w:lang w:eastAsia="en-US"/>
        </w:rPr>
        <w:t xml:space="preserve"> stations</w:t>
      </w:r>
      <w:r w:rsidR="00D77321" w:rsidRPr="00155EC5">
        <w:rPr>
          <w:rFonts w:asciiTheme="minorHAnsi" w:eastAsia="Times New Roman" w:hAnsiTheme="minorHAnsi" w:cs="Times New Roman"/>
          <w:lang w:eastAsia="en-US"/>
        </w:rPr>
        <w:t>)</w:t>
      </w:r>
      <w:r w:rsidR="004A5530" w:rsidRPr="004A5530">
        <w:rPr>
          <w:rFonts w:asciiTheme="minorHAnsi" w:hAnsiTheme="minorHAnsi"/>
          <w:lang w:val="en-US"/>
        </w:rPr>
        <w:t xml:space="preserve">. </w:t>
      </w:r>
    </w:p>
    <w:p w14:paraId="4F7D6A28" w14:textId="77777777" w:rsidR="004A5530" w:rsidRPr="004A5530" w:rsidRDefault="004A5530" w:rsidP="00C348D0">
      <w:pPr>
        <w:pStyle w:val="AnnexHeading1"/>
        <w:keepNext/>
        <w:numPr>
          <w:ilvl w:val="2"/>
          <w:numId w:val="16"/>
        </w:numPr>
      </w:pPr>
      <w:r w:rsidRPr="004A5530">
        <w:lastRenderedPageBreak/>
        <w:t xml:space="preserve">Hybrid Centralised Architecture: Traditional </w:t>
      </w:r>
      <w:r>
        <w:t>DGNSS + EGNOS Based VRS</w:t>
      </w:r>
    </w:p>
    <w:p w14:paraId="195E659D" w14:textId="77777777" w:rsidR="00B94D05" w:rsidRDefault="00B94D05" w:rsidP="00B94D05">
      <w:pPr>
        <w:jc w:val="center"/>
      </w:pPr>
      <w:r>
        <w:rPr>
          <w:noProof/>
          <w:lang w:val="en-IE" w:eastAsia="en-IE"/>
        </w:rPr>
        <w:drawing>
          <wp:inline distT="0" distB="0" distL="0" distR="0" wp14:anchorId="0BE80139" wp14:editId="5E83AEE3">
            <wp:extent cx="5068800" cy="3819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68800" cy="3819600"/>
                    </a:xfrm>
                    <a:prstGeom prst="rect">
                      <a:avLst/>
                    </a:prstGeom>
                    <a:noFill/>
                  </pic:spPr>
                </pic:pic>
              </a:graphicData>
            </a:graphic>
          </wp:inline>
        </w:drawing>
      </w:r>
    </w:p>
    <w:p w14:paraId="556CECC9" w14:textId="77777777" w:rsidR="00B94D05" w:rsidRPr="00F3289A" w:rsidRDefault="00B94D05" w:rsidP="00B94D05">
      <w:pPr>
        <w:pStyle w:val="Figure"/>
        <w:rPr>
          <w:rFonts w:ascii="Calibri" w:hAnsi="Calibri"/>
          <w:szCs w:val="22"/>
        </w:rPr>
      </w:pPr>
      <w:r w:rsidRPr="00F3289A">
        <w:rPr>
          <w:rFonts w:ascii="Calibri" w:hAnsi="Calibri"/>
          <w:szCs w:val="22"/>
        </w:rPr>
        <w:t>Hybrid Centralised Architecture: Traditional DGNSS + EGNOS Based VRS</w:t>
      </w:r>
      <w:r>
        <w:rPr>
          <w:rStyle w:val="FootnoteReference"/>
          <w:szCs w:val="22"/>
        </w:rPr>
        <w:footnoteReference w:id="4"/>
      </w:r>
    </w:p>
    <w:p w14:paraId="4EC4B010" w14:textId="77777777" w:rsidR="004A5530" w:rsidRPr="004A5530" w:rsidRDefault="00975882" w:rsidP="004A5530">
      <w:pPr>
        <w:spacing w:after="120"/>
        <w:rPr>
          <w:rFonts w:asciiTheme="minorHAnsi" w:hAnsiTheme="minorHAnsi"/>
          <w:lang w:val="en-US"/>
        </w:rPr>
      </w:pPr>
      <w:r>
        <w:rPr>
          <w:rFonts w:asciiTheme="minorHAnsi" w:hAnsiTheme="minorHAnsi"/>
          <w:lang w:val="en-US"/>
        </w:rPr>
        <w:t>Qualitative c</w:t>
      </w:r>
      <w:r w:rsidR="004A5530" w:rsidRPr="004A5530">
        <w:rPr>
          <w:rFonts w:asciiTheme="minorHAnsi" w:hAnsiTheme="minorHAnsi"/>
          <w:lang w:val="en-US"/>
        </w:rPr>
        <w:t>osts analysis</w:t>
      </w:r>
      <w:r>
        <w:rPr>
          <w:rFonts w:asciiTheme="minorHAnsi" w:hAnsiTheme="minorHAnsi"/>
          <w:lang w:val="en-US"/>
        </w:rPr>
        <w:t xml:space="preserve"> results</w:t>
      </w:r>
      <w:r w:rsidR="004A5530" w:rsidRPr="004A5530">
        <w:rPr>
          <w:rFonts w:asciiTheme="minorHAnsi" w:hAnsiTheme="minorHAnsi"/>
          <w:lang w:val="en-US"/>
        </w:rPr>
        <w:t>:</w:t>
      </w:r>
    </w:p>
    <w:p w14:paraId="6AA335DE" w14:textId="77777777" w:rsidR="004A5530" w:rsidRPr="004A5530" w:rsidRDefault="004A5530" w:rsidP="007237D1">
      <w:pPr>
        <w:pStyle w:val="ListParagraph"/>
        <w:numPr>
          <w:ilvl w:val="0"/>
          <w:numId w:val="27"/>
        </w:numPr>
        <w:spacing w:after="120"/>
        <w:contextualSpacing w:val="0"/>
        <w:jc w:val="both"/>
        <w:rPr>
          <w:rFonts w:asciiTheme="minorHAnsi" w:hAnsiTheme="minorHAnsi"/>
          <w:lang w:val="en-US"/>
        </w:rPr>
      </w:pPr>
      <w:r w:rsidRPr="004A5530">
        <w:rPr>
          <w:rFonts w:asciiTheme="minorHAnsi" w:hAnsiTheme="minorHAnsi"/>
          <w:lang w:val="en-US"/>
        </w:rPr>
        <w:t xml:space="preserve">CAPEX in a completely new infrastructure based on EGNOS is lower compared to CAPEX in the reference scenario, except in the case that there is only one station (a centralized architecture does not have sense in this situation). </w:t>
      </w:r>
    </w:p>
    <w:p w14:paraId="1256809C" w14:textId="77777777" w:rsidR="004A5530" w:rsidRPr="004A5530" w:rsidRDefault="004A5530" w:rsidP="007237D1">
      <w:pPr>
        <w:pStyle w:val="ListParagraph"/>
        <w:numPr>
          <w:ilvl w:val="0"/>
          <w:numId w:val="27"/>
        </w:numPr>
        <w:spacing w:after="120"/>
        <w:contextualSpacing w:val="0"/>
        <w:jc w:val="both"/>
        <w:rPr>
          <w:rFonts w:asciiTheme="minorHAnsi" w:hAnsiTheme="minorHAnsi"/>
          <w:lang w:val="en-US"/>
        </w:rPr>
      </w:pPr>
      <w:r w:rsidRPr="004A5530">
        <w:rPr>
          <w:rFonts w:asciiTheme="minorHAnsi" w:hAnsiTheme="minorHAnsi"/>
          <w:lang w:val="en-US"/>
        </w:rPr>
        <w:t>The removal of components on site entails a reduction in the maintenance costs, which balances out the OPEX increase due to the upgrade of the contract with the communications provider. This upgrade is needed since this is a centralized architecture.</w:t>
      </w:r>
    </w:p>
    <w:p w14:paraId="1B9096EC" w14:textId="77777777" w:rsidR="004A5530" w:rsidRPr="004A5530" w:rsidRDefault="004A5530" w:rsidP="007237D1">
      <w:pPr>
        <w:pStyle w:val="ListParagraph"/>
        <w:numPr>
          <w:ilvl w:val="0"/>
          <w:numId w:val="27"/>
        </w:numPr>
        <w:spacing w:after="120"/>
        <w:contextualSpacing w:val="0"/>
        <w:jc w:val="both"/>
        <w:rPr>
          <w:rFonts w:asciiTheme="minorHAnsi" w:hAnsiTheme="minorHAnsi"/>
          <w:lang w:val="en-US"/>
        </w:rPr>
      </w:pPr>
      <w:r w:rsidRPr="004A5530">
        <w:rPr>
          <w:rFonts w:asciiTheme="minorHAnsi" w:hAnsiTheme="minorHAnsi"/>
          <w:lang w:val="en-US"/>
        </w:rPr>
        <w:t xml:space="preserve">In an infrastructure with 5 broadcast sites, the </w:t>
      </w:r>
      <w:r w:rsidR="0052510B">
        <w:rPr>
          <w:rFonts w:asciiTheme="minorHAnsi" w:hAnsiTheme="minorHAnsi"/>
          <w:lang w:val="en-US"/>
        </w:rPr>
        <w:t>payback</w:t>
      </w:r>
      <w:r w:rsidRPr="004A5530">
        <w:rPr>
          <w:rFonts w:asciiTheme="minorHAnsi" w:hAnsiTheme="minorHAnsi"/>
          <w:lang w:val="en-US"/>
        </w:rPr>
        <w:t xml:space="preserve"> due to the savings in OPEX happens as of the 7</w:t>
      </w:r>
      <w:r w:rsidRPr="004A5530">
        <w:rPr>
          <w:rFonts w:asciiTheme="minorHAnsi" w:hAnsiTheme="minorHAnsi"/>
          <w:vertAlign w:val="superscript"/>
          <w:lang w:val="en-US"/>
        </w:rPr>
        <w:t>th</w:t>
      </w:r>
      <w:r w:rsidRPr="004A5530">
        <w:rPr>
          <w:rFonts w:asciiTheme="minorHAnsi" w:hAnsiTheme="minorHAnsi"/>
          <w:lang w:val="en-US"/>
        </w:rPr>
        <w:t xml:space="preserve"> year since the infrastructure upgrade. The same happens as of the 3</w:t>
      </w:r>
      <w:r w:rsidRPr="004A5530">
        <w:rPr>
          <w:rFonts w:asciiTheme="minorHAnsi" w:hAnsiTheme="minorHAnsi"/>
          <w:vertAlign w:val="superscript"/>
          <w:lang w:val="en-US"/>
        </w:rPr>
        <w:t>rd</w:t>
      </w:r>
      <w:r w:rsidRPr="004A5530">
        <w:rPr>
          <w:rFonts w:asciiTheme="minorHAnsi" w:hAnsiTheme="minorHAnsi"/>
          <w:lang w:val="en-US"/>
        </w:rPr>
        <w:t xml:space="preserve"> year if there are 10 broadcast sites; or as of the 2</w:t>
      </w:r>
      <w:r w:rsidRPr="004A5530">
        <w:rPr>
          <w:rFonts w:asciiTheme="minorHAnsi" w:hAnsiTheme="minorHAnsi"/>
          <w:vertAlign w:val="superscript"/>
          <w:lang w:val="en-US"/>
        </w:rPr>
        <w:t>nd</w:t>
      </w:r>
      <w:r w:rsidRPr="004A5530">
        <w:rPr>
          <w:rFonts w:asciiTheme="minorHAnsi" w:hAnsiTheme="minorHAnsi"/>
          <w:lang w:val="en-US"/>
        </w:rPr>
        <w:t xml:space="preserve"> year if there are 15 or 20 broadcast sites.</w:t>
      </w:r>
    </w:p>
    <w:p w14:paraId="14FAA2B2" w14:textId="77777777" w:rsidR="004A5530" w:rsidRPr="004A5530" w:rsidRDefault="004A5530" w:rsidP="00C348D0">
      <w:pPr>
        <w:pStyle w:val="AnnexHeading1"/>
        <w:keepNext/>
        <w:numPr>
          <w:ilvl w:val="2"/>
          <w:numId w:val="16"/>
        </w:numPr>
      </w:pPr>
      <w:r w:rsidRPr="004A5530">
        <w:lastRenderedPageBreak/>
        <w:t>Redundant Ful</w:t>
      </w:r>
      <w:r>
        <w:t xml:space="preserve">ly EGNOS Based Solution </w:t>
      </w:r>
    </w:p>
    <w:p w14:paraId="6E403AA9" w14:textId="77777777" w:rsidR="00B94D05" w:rsidRDefault="00B94D05" w:rsidP="00B94D05">
      <w:pPr>
        <w:jc w:val="center"/>
      </w:pPr>
      <w:r>
        <w:rPr>
          <w:noProof/>
          <w:lang w:val="en-IE" w:eastAsia="en-IE"/>
        </w:rPr>
        <w:drawing>
          <wp:inline distT="0" distB="0" distL="0" distR="0" wp14:anchorId="7CD929BB" wp14:editId="3222E106">
            <wp:extent cx="5054400" cy="3798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54400" cy="3798000"/>
                    </a:xfrm>
                    <a:prstGeom prst="rect">
                      <a:avLst/>
                    </a:prstGeom>
                    <a:noFill/>
                    <a:ln>
                      <a:noFill/>
                    </a:ln>
                  </pic:spPr>
                </pic:pic>
              </a:graphicData>
            </a:graphic>
          </wp:inline>
        </w:drawing>
      </w:r>
    </w:p>
    <w:p w14:paraId="311767D9" w14:textId="77777777" w:rsidR="00B94D05" w:rsidRPr="00F3289A" w:rsidRDefault="00B94D05" w:rsidP="00B94D05">
      <w:pPr>
        <w:pStyle w:val="Figure"/>
        <w:rPr>
          <w:rFonts w:ascii="Calibri" w:hAnsi="Calibri"/>
          <w:szCs w:val="22"/>
        </w:rPr>
      </w:pPr>
      <w:r w:rsidRPr="00F3289A">
        <w:rPr>
          <w:rFonts w:ascii="Calibri" w:hAnsi="Calibri"/>
          <w:szCs w:val="22"/>
        </w:rPr>
        <w:t>Fully EGNOS Based Solution</w:t>
      </w:r>
    </w:p>
    <w:p w14:paraId="69F7AC72" w14:textId="77777777" w:rsidR="004A5530" w:rsidRPr="004A5530" w:rsidRDefault="00975882" w:rsidP="004A5530">
      <w:pPr>
        <w:spacing w:after="120"/>
        <w:rPr>
          <w:rFonts w:asciiTheme="minorHAnsi" w:hAnsiTheme="minorHAnsi"/>
          <w:lang w:val="en-US"/>
        </w:rPr>
      </w:pPr>
      <w:r>
        <w:rPr>
          <w:rFonts w:asciiTheme="minorHAnsi" w:hAnsiTheme="minorHAnsi"/>
          <w:lang w:val="en-US"/>
        </w:rPr>
        <w:t>Qualitative c</w:t>
      </w:r>
      <w:r w:rsidRPr="004A5530">
        <w:rPr>
          <w:rFonts w:asciiTheme="minorHAnsi" w:hAnsiTheme="minorHAnsi"/>
          <w:lang w:val="en-US"/>
        </w:rPr>
        <w:t>osts analysis</w:t>
      </w:r>
      <w:r>
        <w:rPr>
          <w:rFonts w:asciiTheme="minorHAnsi" w:hAnsiTheme="minorHAnsi"/>
          <w:lang w:val="en-US"/>
        </w:rPr>
        <w:t xml:space="preserve"> results</w:t>
      </w:r>
      <w:r w:rsidRPr="004A5530">
        <w:rPr>
          <w:rFonts w:asciiTheme="minorHAnsi" w:hAnsiTheme="minorHAnsi"/>
          <w:lang w:val="en-US"/>
        </w:rPr>
        <w:t>:</w:t>
      </w:r>
    </w:p>
    <w:p w14:paraId="5D9F8F98" w14:textId="77777777" w:rsidR="004A5530" w:rsidRPr="004A5530" w:rsidRDefault="004A5530" w:rsidP="007237D1">
      <w:pPr>
        <w:pStyle w:val="ListParagraph"/>
        <w:numPr>
          <w:ilvl w:val="0"/>
          <w:numId w:val="27"/>
        </w:numPr>
        <w:spacing w:after="120"/>
        <w:contextualSpacing w:val="0"/>
        <w:jc w:val="both"/>
        <w:rPr>
          <w:rFonts w:asciiTheme="minorHAnsi" w:hAnsiTheme="minorHAnsi"/>
          <w:lang w:val="en-US"/>
        </w:rPr>
      </w:pPr>
      <w:r w:rsidRPr="004A5530">
        <w:rPr>
          <w:rFonts w:asciiTheme="minorHAnsi" w:hAnsiTheme="minorHAnsi"/>
          <w:lang w:val="en-US"/>
        </w:rPr>
        <w:t xml:space="preserve">CAPEX in a completely new infrastructure based on EGNOS is lower compared to CAPEX in the reference scenario, except in the case that there is only one station (a centralized architecture does not have sense in this situation). </w:t>
      </w:r>
    </w:p>
    <w:p w14:paraId="4D548F90" w14:textId="77777777" w:rsidR="004A5530" w:rsidRPr="004A5530" w:rsidRDefault="004A5530" w:rsidP="007237D1">
      <w:pPr>
        <w:pStyle w:val="ListParagraph"/>
        <w:numPr>
          <w:ilvl w:val="0"/>
          <w:numId w:val="27"/>
        </w:numPr>
        <w:spacing w:after="120"/>
        <w:contextualSpacing w:val="0"/>
        <w:jc w:val="both"/>
        <w:rPr>
          <w:rFonts w:asciiTheme="minorHAnsi" w:hAnsiTheme="minorHAnsi"/>
          <w:lang w:val="en-US"/>
        </w:rPr>
      </w:pPr>
      <w:r w:rsidRPr="004A5530">
        <w:rPr>
          <w:rFonts w:asciiTheme="minorHAnsi" w:hAnsiTheme="minorHAnsi"/>
          <w:lang w:val="en-US"/>
        </w:rPr>
        <w:t>The removal of components on site entails a reduction in the maintenance costs, which balances out the OPEX increase due to the upgrade of the contract with the communications provider. This upgrade is needed since this is a centralized architecture.</w:t>
      </w:r>
    </w:p>
    <w:p w14:paraId="40145CE2" w14:textId="77777777" w:rsidR="004A5530" w:rsidRDefault="004A5530" w:rsidP="007237D1">
      <w:pPr>
        <w:pStyle w:val="ListParagraph"/>
        <w:numPr>
          <w:ilvl w:val="0"/>
          <w:numId w:val="27"/>
        </w:numPr>
        <w:spacing w:after="120"/>
        <w:contextualSpacing w:val="0"/>
        <w:jc w:val="both"/>
        <w:rPr>
          <w:rFonts w:asciiTheme="minorHAnsi" w:hAnsiTheme="minorHAnsi"/>
          <w:lang w:val="en-US"/>
        </w:rPr>
      </w:pPr>
      <w:r w:rsidRPr="004A5530">
        <w:rPr>
          <w:rFonts w:asciiTheme="minorHAnsi" w:hAnsiTheme="minorHAnsi"/>
          <w:lang w:val="en-US"/>
        </w:rPr>
        <w:t xml:space="preserve">In an infrastructure with 10 broadcast sites, the </w:t>
      </w:r>
      <w:r w:rsidR="0052510B">
        <w:rPr>
          <w:rFonts w:asciiTheme="minorHAnsi" w:hAnsiTheme="minorHAnsi"/>
          <w:lang w:val="en-US"/>
        </w:rPr>
        <w:t>payback</w:t>
      </w:r>
      <w:r w:rsidRPr="004A5530">
        <w:rPr>
          <w:rFonts w:asciiTheme="minorHAnsi" w:hAnsiTheme="minorHAnsi"/>
          <w:lang w:val="en-US"/>
        </w:rPr>
        <w:t xml:space="preserve"> due to the savings in OPEX happens as of the 6</w:t>
      </w:r>
      <w:r w:rsidRPr="004A5530">
        <w:rPr>
          <w:rFonts w:asciiTheme="minorHAnsi" w:hAnsiTheme="minorHAnsi"/>
          <w:vertAlign w:val="superscript"/>
          <w:lang w:val="en-US"/>
        </w:rPr>
        <w:t>th</w:t>
      </w:r>
      <w:r w:rsidRPr="004A5530">
        <w:rPr>
          <w:rFonts w:asciiTheme="minorHAnsi" w:hAnsiTheme="minorHAnsi"/>
          <w:lang w:val="en-US"/>
        </w:rPr>
        <w:t xml:space="preserve"> year since the infrastructure upgrade. The same happens as of the 5</w:t>
      </w:r>
      <w:r w:rsidRPr="004A5530">
        <w:rPr>
          <w:rFonts w:asciiTheme="minorHAnsi" w:hAnsiTheme="minorHAnsi"/>
          <w:vertAlign w:val="superscript"/>
          <w:lang w:val="en-US"/>
        </w:rPr>
        <w:t>th</w:t>
      </w:r>
      <w:r w:rsidRPr="004A5530">
        <w:rPr>
          <w:rFonts w:asciiTheme="minorHAnsi" w:hAnsiTheme="minorHAnsi"/>
          <w:lang w:val="en-US"/>
        </w:rPr>
        <w:t xml:space="preserve"> year if there are 15 or 20 broadcast sites.</w:t>
      </w:r>
    </w:p>
    <w:p w14:paraId="683C0E36" w14:textId="77777777" w:rsidR="005938B5" w:rsidRPr="004A5530" w:rsidRDefault="005938B5" w:rsidP="005938B5">
      <w:pPr>
        <w:pStyle w:val="ListParagraph"/>
        <w:spacing w:after="120"/>
        <w:contextualSpacing w:val="0"/>
        <w:jc w:val="both"/>
        <w:rPr>
          <w:rFonts w:asciiTheme="minorHAnsi" w:hAnsiTheme="minorHAnsi"/>
          <w:lang w:val="en-US"/>
        </w:rPr>
      </w:pPr>
    </w:p>
    <w:p w14:paraId="62FA0BBA" w14:textId="77777777" w:rsidR="004A5530" w:rsidRPr="00741179" w:rsidRDefault="00741179" w:rsidP="00C348D0">
      <w:pPr>
        <w:pStyle w:val="AnnexHeading1"/>
        <w:numPr>
          <w:ilvl w:val="1"/>
          <w:numId w:val="16"/>
        </w:numPr>
      </w:pPr>
      <w:r w:rsidRPr="00741179">
        <w:t>Costs comparison and conclusions</w:t>
      </w:r>
    </w:p>
    <w:p w14:paraId="2DA0BDCE" w14:textId="77777777" w:rsidR="00B5514B" w:rsidRPr="00B5514B" w:rsidRDefault="00B5514B" w:rsidP="00B5514B">
      <w:pPr>
        <w:spacing w:after="120"/>
        <w:jc w:val="both"/>
        <w:rPr>
          <w:rFonts w:asciiTheme="minorHAnsi" w:hAnsiTheme="minorHAnsi"/>
        </w:rPr>
      </w:pPr>
      <w:r w:rsidRPr="00B5514B">
        <w:rPr>
          <w:rFonts w:asciiTheme="minorHAnsi" w:hAnsiTheme="minorHAnsi"/>
        </w:rPr>
        <w:t xml:space="preserve">The performed analysis has taken into account the modifications to be made in the reference scenario in order to implement 3 different alternatives, according to the trade-off analysis in the ENAV19-13.13 input paper </w:t>
      </w:r>
      <w:r w:rsidRPr="00B5514B">
        <w:rPr>
          <w:rFonts w:asciiTheme="minorHAnsi" w:hAnsiTheme="minorHAnsi"/>
        </w:rPr>
        <w:fldChar w:fldCharType="begin"/>
      </w:r>
      <w:r w:rsidRPr="00B5514B">
        <w:rPr>
          <w:rFonts w:asciiTheme="minorHAnsi" w:hAnsiTheme="minorHAnsi"/>
        </w:rPr>
        <w:instrText xml:space="preserve"> REF _Ref475008615 \r \h </w:instrText>
      </w:r>
      <w:r>
        <w:rPr>
          <w:rFonts w:asciiTheme="minorHAnsi" w:hAnsiTheme="minorHAnsi"/>
        </w:rPr>
        <w:instrText xml:space="preserve"> \* MERGEFORMAT </w:instrText>
      </w:r>
      <w:r w:rsidRPr="00B5514B">
        <w:rPr>
          <w:rFonts w:asciiTheme="minorHAnsi" w:hAnsiTheme="minorHAnsi"/>
        </w:rPr>
      </w:r>
      <w:r w:rsidRPr="00B5514B">
        <w:rPr>
          <w:rFonts w:asciiTheme="minorHAnsi" w:hAnsiTheme="minorHAnsi"/>
        </w:rPr>
        <w:fldChar w:fldCharType="separate"/>
      </w:r>
      <w:r w:rsidRPr="00B5514B">
        <w:rPr>
          <w:rFonts w:asciiTheme="minorHAnsi" w:hAnsiTheme="minorHAnsi"/>
        </w:rPr>
        <w:t>[1]</w:t>
      </w:r>
      <w:r w:rsidRPr="00B5514B">
        <w:rPr>
          <w:rFonts w:asciiTheme="minorHAnsi" w:hAnsiTheme="minorHAnsi"/>
        </w:rPr>
        <w:fldChar w:fldCharType="end"/>
      </w:r>
      <w:r w:rsidRPr="00B5514B">
        <w:rPr>
          <w:rFonts w:asciiTheme="minorHAnsi" w:hAnsiTheme="minorHAnsi"/>
        </w:rPr>
        <w:t>.</w:t>
      </w:r>
    </w:p>
    <w:p w14:paraId="0A9E5C82" w14:textId="77777777" w:rsidR="00B5514B" w:rsidRPr="00B5514B" w:rsidRDefault="00B5514B" w:rsidP="00B5514B">
      <w:pPr>
        <w:spacing w:after="120"/>
        <w:jc w:val="both"/>
        <w:rPr>
          <w:rFonts w:asciiTheme="minorHAnsi" w:hAnsiTheme="minorHAnsi"/>
        </w:rPr>
      </w:pPr>
      <w:r w:rsidRPr="00B5514B">
        <w:rPr>
          <w:rFonts w:asciiTheme="minorHAnsi" w:hAnsiTheme="minorHAnsi"/>
        </w:rPr>
        <w:t xml:space="preserve">As commented before, CAPEX is directly related with the number of IALA beacons, either in the reference scenario or in the proposed alternatives, being worth implementing a centralised architecture only when there are more than one broadcast stations. </w:t>
      </w:r>
    </w:p>
    <w:p w14:paraId="784FA471" w14:textId="77777777" w:rsidR="00B5514B" w:rsidRPr="00B5514B" w:rsidRDefault="00B5514B" w:rsidP="00B5514B">
      <w:pPr>
        <w:spacing w:after="120"/>
        <w:jc w:val="both"/>
        <w:rPr>
          <w:rFonts w:asciiTheme="minorHAnsi" w:hAnsiTheme="minorHAnsi"/>
        </w:rPr>
      </w:pPr>
      <w:r w:rsidRPr="00B5514B">
        <w:rPr>
          <w:rFonts w:asciiTheme="minorHAnsi" w:hAnsiTheme="minorHAnsi"/>
        </w:rPr>
        <w:t>In terms of CAPEX, the “Redundant Fully EGNOS Based Solution” is the alternative requiring the highest upgrade investments. In addition, the “Hybrid Decentralised Architecture: Traditional DGNSS + SISNeT Based” requires lower investment than the “Hybrid Centralised Architecture: Trad</w:t>
      </w:r>
      <w:r>
        <w:rPr>
          <w:rFonts w:asciiTheme="minorHAnsi" w:hAnsiTheme="minorHAnsi"/>
        </w:rPr>
        <w:t>itional DGNSS + EGNOS Based VRS</w:t>
      </w:r>
      <w:r w:rsidRPr="00B5514B">
        <w:rPr>
          <w:rFonts w:asciiTheme="minorHAnsi" w:hAnsiTheme="minorHAnsi"/>
        </w:rPr>
        <w:t>” when the number of stations to be upgraded is less than 15.</w:t>
      </w:r>
    </w:p>
    <w:p w14:paraId="22646C41" w14:textId="77777777" w:rsidR="00B5514B" w:rsidRDefault="00B5514B" w:rsidP="00B5514B">
      <w:pPr>
        <w:spacing w:after="120"/>
        <w:jc w:val="both"/>
        <w:rPr>
          <w:rFonts w:asciiTheme="minorHAnsi" w:hAnsiTheme="minorHAnsi"/>
        </w:rPr>
      </w:pPr>
      <w:r w:rsidRPr="00B5514B">
        <w:rPr>
          <w:rFonts w:asciiTheme="minorHAnsi" w:hAnsiTheme="minorHAnsi"/>
        </w:rPr>
        <w:lastRenderedPageBreak/>
        <w:t>In regards to the evolution of the operational expenditures in the alternate scenarios compared with the reference scenario, they are clearly reduced as the number of onsite equipment decreases; even taking into account the upgrades of the contract with the ISP</w:t>
      </w:r>
      <w:r w:rsidR="00C406CD">
        <w:rPr>
          <w:rFonts w:asciiTheme="minorHAnsi" w:hAnsiTheme="minorHAnsi"/>
        </w:rPr>
        <w:t xml:space="preserve"> </w:t>
      </w:r>
      <w:r w:rsidRPr="00B5514B">
        <w:rPr>
          <w:rFonts w:asciiTheme="minorHAnsi" w:hAnsiTheme="minorHAnsi"/>
        </w:rPr>
        <w:t>in the Central Facility.</w:t>
      </w:r>
    </w:p>
    <w:p w14:paraId="0199ADFE" w14:textId="77777777" w:rsidR="005938B5" w:rsidRDefault="005938B5" w:rsidP="00B5514B">
      <w:pPr>
        <w:spacing w:after="120"/>
        <w:jc w:val="both"/>
        <w:rPr>
          <w:rFonts w:asciiTheme="minorHAnsi" w:hAnsiTheme="minorHAnsi"/>
        </w:rPr>
      </w:pPr>
    </w:p>
    <w:p w14:paraId="7FB49B79" w14:textId="77777777" w:rsidR="00817598" w:rsidRPr="007237D1" w:rsidRDefault="00817598" w:rsidP="00817598">
      <w:pPr>
        <w:pStyle w:val="AnnexHeading1"/>
        <w:keepNext/>
        <w:numPr>
          <w:ilvl w:val="2"/>
          <w:numId w:val="16"/>
        </w:numPr>
      </w:pPr>
      <w:r w:rsidRPr="007237D1">
        <w:t>Infrastructure upgrade</w:t>
      </w:r>
    </w:p>
    <w:p w14:paraId="4EBD659F" w14:textId="77777777" w:rsidR="00817598" w:rsidRDefault="00817598" w:rsidP="00817598">
      <w:pPr>
        <w:spacing w:after="120"/>
        <w:jc w:val="both"/>
        <w:rPr>
          <w:rFonts w:asciiTheme="minorHAnsi" w:eastAsia="Times New Roman" w:hAnsiTheme="minorHAnsi" w:cs="Times New Roman"/>
          <w:lang w:eastAsia="en-US"/>
        </w:rPr>
      </w:pPr>
      <w:r>
        <w:rPr>
          <w:rFonts w:asciiTheme="minorHAnsi" w:eastAsia="Times New Roman" w:hAnsiTheme="minorHAnsi" w:cs="Times New Roman"/>
          <w:lang w:eastAsia="en-US"/>
        </w:rPr>
        <w:fldChar w:fldCharType="begin"/>
      </w:r>
      <w:r>
        <w:rPr>
          <w:rFonts w:asciiTheme="minorHAnsi" w:eastAsia="Times New Roman" w:hAnsiTheme="minorHAnsi" w:cs="Times New Roman"/>
          <w:lang w:eastAsia="en-US"/>
        </w:rPr>
        <w:instrText xml:space="preserve"> REF _Ref475446358 \r \h </w:instrText>
      </w:r>
      <w:r>
        <w:rPr>
          <w:rFonts w:asciiTheme="minorHAnsi" w:eastAsia="Times New Roman" w:hAnsiTheme="minorHAnsi" w:cs="Times New Roman"/>
          <w:lang w:eastAsia="en-US"/>
        </w:rPr>
      </w:r>
      <w:r>
        <w:rPr>
          <w:rFonts w:asciiTheme="minorHAnsi" w:eastAsia="Times New Roman" w:hAnsiTheme="minorHAnsi" w:cs="Times New Roman"/>
          <w:lang w:eastAsia="en-US"/>
        </w:rPr>
        <w:fldChar w:fldCharType="separate"/>
      </w:r>
      <w:r>
        <w:rPr>
          <w:rFonts w:asciiTheme="minorHAnsi" w:eastAsia="Times New Roman" w:hAnsiTheme="minorHAnsi" w:cs="Times New Roman"/>
          <w:lang w:eastAsia="en-US"/>
        </w:rPr>
        <w:t>Table 1</w:t>
      </w:r>
      <w:r>
        <w:rPr>
          <w:rFonts w:asciiTheme="minorHAnsi" w:eastAsia="Times New Roman" w:hAnsiTheme="minorHAnsi" w:cs="Times New Roman"/>
          <w:lang w:eastAsia="en-US"/>
        </w:rPr>
        <w:fldChar w:fldCharType="end"/>
      </w:r>
      <w:r>
        <w:rPr>
          <w:rFonts w:asciiTheme="minorHAnsi" w:eastAsia="Times New Roman" w:hAnsiTheme="minorHAnsi" w:cs="Times New Roman"/>
          <w:lang w:eastAsia="en-US"/>
        </w:rPr>
        <w:t xml:space="preserve"> shows the relative investment in terms of CAPEX of each EGNOS-based alternative, the variation in percentage of OPEX with regard to the reference scenario and the payback period. All this values appl</w:t>
      </w:r>
      <w:r w:rsidR="00DC0A13">
        <w:rPr>
          <w:rFonts w:asciiTheme="minorHAnsi" w:eastAsia="Times New Roman" w:hAnsiTheme="minorHAnsi" w:cs="Times New Roman"/>
          <w:lang w:eastAsia="en-US"/>
        </w:rPr>
        <w:t>y</w:t>
      </w:r>
      <w:r>
        <w:rPr>
          <w:rFonts w:asciiTheme="minorHAnsi" w:eastAsia="Times New Roman" w:hAnsiTheme="minorHAnsi" w:cs="Times New Roman"/>
          <w:lang w:eastAsia="en-US"/>
        </w:rPr>
        <w:t xml:space="preserve"> to </w:t>
      </w:r>
      <w:r w:rsidRPr="00741179">
        <w:rPr>
          <w:rFonts w:asciiTheme="minorHAnsi" w:eastAsia="Times New Roman" w:hAnsiTheme="minorHAnsi" w:cs="Times New Roman"/>
          <w:lang w:eastAsia="en-US"/>
        </w:rPr>
        <w:t>the 10 stations case</w:t>
      </w:r>
      <w:r>
        <w:rPr>
          <w:rFonts w:asciiTheme="minorHAnsi" w:eastAsia="Times New Roman" w:hAnsiTheme="minorHAnsi" w:cs="Times New Roman"/>
          <w:lang w:eastAsia="en-US"/>
        </w:rPr>
        <w:t xml:space="preserve"> when an infrastructure upgrade is done:</w:t>
      </w:r>
    </w:p>
    <w:p w14:paraId="52F06318" w14:textId="77777777" w:rsidR="00817598" w:rsidRPr="007779CB" w:rsidRDefault="00817598" w:rsidP="00817598">
      <w:pPr>
        <w:pStyle w:val="Table"/>
        <w:numPr>
          <w:ilvl w:val="0"/>
          <w:numId w:val="35"/>
        </w:numPr>
        <w:rPr>
          <w:rFonts w:ascii="Calibri" w:hAnsi="Calibri"/>
        </w:rPr>
      </w:pPr>
      <w:bookmarkStart w:id="12" w:name="_Ref475446358"/>
      <w:r w:rsidRPr="00741179">
        <w:rPr>
          <w:rFonts w:asciiTheme="minorHAnsi" w:eastAsia="Times New Roman" w:hAnsiTheme="minorHAnsi" w:cs="Times New Roman"/>
          <w:lang w:eastAsia="en-US"/>
        </w:rPr>
        <w:t xml:space="preserve">Costs </w:t>
      </w:r>
      <w:r>
        <w:rPr>
          <w:rFonts w:asciiTheme="minorHAnsi" w:eastAsia="Times New Roman" w:hAnsiTheme="minorHAnsi" w:cs="Times New Roman"/>
          <w:lang w:eastAsia="en-US"/>
        </w:rPr>
        <w:t>variation</w:t>
      </w:r>
      <w:r w:rsidRPr="00741179">
        <w:rPr>
          <w:rFonts w:asciiTheme="minorHAnsi" w:eastAsia="Times New Roman" w:hAnsiTheme="minorHAnsi" w:cs="Times New Roman"/>
          <w:lang w:eastAsia="en-US"/>
        </w:rPr>
        <w:t xml:space="preserve"> – 10 stations – infrastructure upgrade</w:t>
      </w:r>
      <w:bookmarkEnd w:id="12"/>
    </w:p>
    <w:tbl>
      <w:tblPr>
        <w:tblStyle w:val="TableGrid3"/>
        <w:tblW w:w="0" w:type="auto"/>
        <w:tblLook w:val="04A0" w:firstRow="1" w:lastRow="0" w:firstColumn="1" w:lastColumn="0" w:noHBand="0" w:noVBand="1"/>
      </w:tblPr>
      <w:tblGrid>
        <w:gridCol w:w="2660"/>
        <w:gridCol w:w="2410"/>
        <w:gridCol w:w="2551"/>
        <w:gridCol w:w="2516"/>
      </w:tblGrid>
      <w:tr w:rsidR="00817598" w:rsidRPr="008573CE" w14:paraId="4C54BEC1" w14:textId="77777777" w:rsidTr="00034DB7">
        <w:tc>
          <w:tcPr>
            <w:tcW w:w="2660" w:type="dxa"/>
            <w:vAlign w:val="center"/>
          </w:tcPr>
          <w:p w14:paraId="6B1683DB" w14:textId="77777777" w:rsidR="00817598" w:rsidRPr="008573CE" w:rsidRDefault="00817598" w:rsidP="00034DB7">
            <w:pPr>
              <w:spacing w:before="60" w:after="60"/>
              <w:jc w:val="center"/>
              <w:rPr>
                <w:rFonts w:asciiTheme="minorHAnsi" w:hAnsiTheme="minorHAnsi" w:cs="Times New Roman"/>
                <w:b/>
                <w:lang w:eastAsia="en-US"/>
              </w:rPr>
            </w:pPr>
            <w:r w:rsidRPr="008573CE">
              <w:rPr>
                <w:rFonts w:asciiTheme="minorHAnsi" w:hAnsiTheme="minorHAnsi" w:cs="Times New Roman"/>
                <w:b/>
                <w:lang w:eastAsia="en-US"/>
              </w:rPr>
              <w:t xml:space="preserve">10 stations </w:t>
            </w:r>
          </w:p>
          <w:p w14:paraId="59CD573A" w14:textId="77777777" w:rsidR="00817598" w:rsidRPr="008573CE" w:rsidRDefault="00817598" w:rsidP="00034DB7">
            <w:pPr>
              <w:spacing w:before="60" w:after="60"/>
              <w:jc w:val="center"/>
              <w:rPr>
                <w:rFonts w:asciiTheme="minorHAnsi" w:hAnsiTheme="minorHAnsi" w:cs="Times New Roman"/>
                <w:b/>
                <w:lang w:eastAsia="en-US"/>
              </w:rPr>
            </w:pPr>
            <w:r w:rsidRPr="008573CE">
              <w:rPr>
                <w:rFonts w:asciiTheme="minorHAnsi" w:hAnsiTheme="minorHAnsi" w:cs="Times New Roman"/>
                <w:b/>
                <w:lang w:eastAsia="en-US"/>
              </w:rPr>
              <w:t>Infrastructure upgrade</w:t>
            </w:r>
          </w:p>
        </w:tc>
        <w:tc>
          <w:tcPr>
            <w:tcW w:w="2410" w:type="dxa"/>
            <w:vAlign w:val="center"/>
          </w:tcPr>
          <w:p w14:paraId="359830DA" w14:textId="77777777" w:rsidR="00817598" w:rsidRPr="008573CE" w:rsidRDefault="00817598" w:rsidP="00034DB7">
            <w:pPr>
              <w:spacing w:before="60" w:after="60"/>
              <w:jc w:val="center"/>
              <w:rPr>
                <w:rFonts w:asciiTheme="minorHAnsi" w:hAnsiTheme="minorHAnsi" w:cs="Times New Roman"/>
                <w:b/>
                <w:lang w:eastAsia="en-US"/>
              </w:rPr>
            </w:pPr>
            <w:r w:rsidRPr="008573CE">
              <w:rPr>
                <w:rFonts w:asciiTheme="minorHAnsi" w:hAnsiTheme="minorHAnsi" w:cs="Times New Roman"/>
                <w:b/>
                <w:lang w:eastAsia="en-US"/>
              </w:rPr>
              <w:t>Hybrid Decentralised</w:t>
            </w:r>
          </w:p>
        </w:tc>
        <w:tc>
          <w:tcPr>
            <w:tcW w:w="2551" w:type="dxa"/>
            <w:vAlign w:val="center"/>
          </w:tcPr>
          <w:p w14:paraId="2A96DA70" w14:textId="77777777" w:rsidR="00817598" w:rsidRPr="008573CE" w:rsidRDefault="00817598" w:rsidP="00034DB7">
            <w:pPr>
              <w:spacing w:before="60" w:after="60"/>
              <w:jc w:val="center"/>
              <w:rPr>
                <w:rFonts w:asciiTheme="minorHAnsi" w:hAnsiTheme="minorHAnsi" w:cs="Times New Roman"/>
                <w:b/>
                <w:lang w:eastAsia="en-US"/>
              </w:rPr>
            </w:pPr>
            <w:r w:rsidRPr="008573CE">
              <w:rPr>
                <w:rFonts w:asciiTheme="minorHAnsi" w:hAnsiTheme="minorHAnsi" w:cs="Times New Roman"/>
                <w:b/>
                <w:lang w:eastAsia="en-US"/>
              </w:rPr>
              <w:t>Hybrid Centralised</w:t>
            </w:r>
          </w:p>
        </w:tc>
        <w:tc>
          <w:tcPr>
            <w:tcW w:w="2516" w:type="dxa"/>
            <w:vAlign w:val="center"/>
          </w:tcPr>
          <w:p w14:paraId="7846B9D9" w14:textId="77777777" w:rsidR="00817598" w:rsidRPr="008573CE" w:rsidRDefault="00817598" w:rsidP="00034DB7">
            <w:pPr>
              <w:spacing w:before="60" w:after="60"/>
              <w:jc w:val="center"/>
              <w:rPr>
                <w:rFonts w:asciiTheme="minorHAnsi" w:hAnsiTheme="minorHAnsi" w:cs="Times New Roman"/>
                <w:b/>
                <w:lang w:eastAsia="en-US"/>
              </w:rPr>
            </w:pPr>
            <w:r w:rsidRPr="008573CE">
              <w:rPr>
                <w:rFonts w:asciiTheme="minorHAnsi" w:hAnsiTheme="minorHAnsi" w:cs="Times New Roman"/>
                <w:b/>
                <w:lang w:eastAsia="en-US"/>
              </w:rPr>
              <w:t>Redundant fully EGNOS</w:t>
            </w:r>
          </w:p>
        </w:tc>
      </w:tr>
      <w:tr w:rsidR="00817598" w:rsidRPr="008573CE" w14:paraId="59F7D120" w14:textId="77777777" w:rsidTr="00034DB7">
        <w:tc>
          <w:tcPr>
            <w:tcW w:w="2660" w:type="dxa"/>
          </w:tcPr>
          <w:p w14:paraId="6A26D4F1" w14:textId="0A5AAFC6" w:rsidR="00817598" w:rsidRPr="008573CE" w:rsidRDefault="00817598" w:rsidP="00A479C2">
            <w:pPr>
              <w:spacing w:before="60" w:after="60"/>
              <w:rPr>
                <w:rFonts w:asciiTheme="minorHAnsi" w:hAnsiTheme="minorHAnsi" w:cs="Times New Roman"/>
                <w:b/>
                <w:lang w:eastAsia="en-US"/>
              </w:rPr>
            </w:pPr>
            <w:r w:rsidRPr="008573CE">
              <w:rPr>
                <w:rFonts w:asciiTheme="minorHAnsi" w:hAnsiTheme="minorHAnsi" w:cs="Times New Roman"/>
                <w:b/>
                <w:lang w:eastAsia="en-US"/>
              </w:rPr>
              <w:t>CAPEX</w:t>
            </w:r>
            <w:r w:rsidR="00A479C2">
              <w:rPr>
                <w:rFonts w:asciiTheme="minorHAnsi" w:hAnsiTheme="minorHAnsi" w:cs="Times New Roman"/>
                <w:b/>
                <w:lang w:eastAsia="en-US"/>
              </w:rPr>
              <w:t>-U</w:t>
            </w:r>
          </w:p>
        </w:tc>
        <w:tc>
          <w:tcPr>
            <w:tcW w:w="2410" w:type="dxa"/>
            <w:vAlign w:val="center"/>
          </w:tcPr>
          <w:p w14:paraId="6EC411CA" w14:textId="541606B6" w:rsidR="00817598" w:rsidRPr="00A479C2" w:rsidRDefault="00817598" w:rsidP="00034DB7">
            <w:pPr>
              <w:spacing w:before="60" w:after="60"/>
              <w:jc w:val="center"/>
              <w:rPr>
                <w:rFonts w:asciiTheme="minorHAnsi" w:hAnsiTheme="minorHAnsi" w:cs="Times New Roman"/>
                <w:lang w:eastAsia="en-US"/>
              </w:rPr>
            </w:pPr>
            <w:r w:rsidRPr="00A479C2">
              <w:rPr>
                <w:rFonts w:asciiTheme="minorHAnsi" w:hAnsiTheme="minorHAnsi" w:cs="Times New Roman"/>
                <w:lang w:eastAsia="en-US"/>
              </w:rPr>
              <w:t>3%</w:t>
            </w:r>
          </w:p>
        </w:tc>
        <w:tc>
          <w:tcPr>
            <w:tcW w:w="2551" w:type="dxa"/>
            <w:vAlign w:val="center"/>
          </w:tcPr>
          <w:p w14:paraId="72EB7654" w14:textId="6C0C4E67" w:rsidR="00817598" w:rsidRPr="00A479C2" w:rsidRDefault="00817598" w:rsidP="00034DB7">
            <w:pPr>
              <w:spacing w:before="60" w:after="60"/>
              <w:jc w:val="center"/>
              <w:rPr>
                <w:rFonts w:asciiTheme="minorHAnsi" w:hAnsiTheme="minorHAnsi" w:cs="Times New Roman"/>
                <w:lang w:eastAsia="en-US"/>
              </w:rPr>
            </w:pPr>
            <w:r w:rsidRPr="00A479C2">
              <w:rPr>
                <w:rFonts w:asciiTheme="minorHAnsi" w:hAnsiTheme="minorHAnsi" w:cs="Times New Roman"/>
                <w:lang w:eastAsia="en-US"/>
              </w:rPr>
              <w:t>4%</w:t>
            </w:r>
          </w:p>
        </w:tc>
        <w:tc>
          <w:tcPr>
            <w:tcW w:w="2516" w:type="dxa"/>
            <w:vAlign w:val="center"/>
          </w:tcPr>
          <w:p w14:paraId="4E276FC6" w14:textId="2F28C0E7" w:rsidR="00817598" w:rsidRPr="00A479C2" w:rsidRDefault="00817598" w:rsidP="00034DB7">
            <w:pPr>
              <w:spacing w:before="60" w:after="60"/>
              <w:jc w:val="center"/>
              <w:rPr>
                <w:rFonts w:asciiTheme="minorHAnsi" w:hAnsiTheme="minorHAnsi" w:cs="Times New Roman"/>
                <w:lang w:eastAsia="en-US"/>
              </w:rPr>
            </w:pPr>
            <w:r w:rsidRPr="00A479C2">
              <w:rPr>
                <w:rFonts w:asciiTheme="minorHAnsi" w:hAnsiTheme="minorHAnsi" w:cs="Times New Roman"/>
                <w:lang w:eastAsia="en-US"/>
              </w:rPr>
              <w:t>11%</w:t>
            </w:r>
          </w:p>
        </w:tc>
      </w:tr>
      <w:tr w:rsidR="00817598" w:rsidRPr="008573CE" w14:paraId="2D27A6EE" w14:textId="77777777" w:rsidTr="00034DB7">
        <w:tc>
          <w:tcPr>
            <w:tcW w:w="2660" w:type="dxa"/>
          </w:tcPr>
          <w:p w14:paraId="131E9C6F" w14:textId="497D1E95" w:rsidR="00817598" w:rsidRPr="008573CE" w:rsidRDefault="00817598" w:rsidP="00A479C2">
            <w:pPr>
              <w:spacing w:before="60" w:after="60"/>
              <w:rPr>
                <w:rFonts w:asciiTheme="minorHAnsi" w:hAnsiTheme="minorHAnsi" w:cs="Times New Roman"/>
                <w:b/>
                <w:lang w:eastAsia="en-US"/>
              </w:rPr>
            </w:pPr>
            <w:r>
              <w:rPr>
                <w:rFonts w:asciiTheme="minorHAnsi" w:hAnsiTheme="minorHAnsi" w:cs="Times New Roman"/>
                <w:b/>
                <w:lang w:eastAsia="en-US"/>
              </w:rPr>
              <w:t>OPEX</w:t>
            </w:r>
            <w:r w:rsidR="00A479C2">
              <w:rPr>
                <w:rFonts w:asciiTheme="minorHAnsi" w:hAnsiTheme="minorHAnsi" w:cs="Times New Roman"/>
                <w:b/>
                <w:lang w:eastAsia="en-US"/>
              </w:rPr>
              <w:t>-D</w:t>
            </w:r>
          </w:p>
        </w:tc>
        <w:tc>
          <w:tcPr>
            <w:tcW w:w="2410" w:type="dxa"/>
            <w:vAlign w:val="center"/>
          </w:tcPr>
          <w:p w14:paraId="1863FFB4" w14:textId="77777777" w:rsidR="00817598" w:rsidRPr="0018233F" w:rsidRDefault="00817598" w:rsidP="00034DB7">
            <w:pPr>
              <w:spacing w:before="60" w:after="60"/>
              <w:jc w:val="center"/>
              <w:rPr>
                <w:rFonts w:asciiTheme="minorHAnsi" w:hAnsiTheme="minorHAnsi" w:cs="Times New Roman"/>
                <w:lang w:val="en-US" w:eastAsia="en-US"/>
              </w:rPr>
            </w:pPr>
            <w:r w:rsidRPr="0018233F">
              <w:rPr>
                <w:rFonts w:cs="Arial"/>
                <w:color w:val="00B050"/>
                <w:lang w:eastAsia="en-US"/>
              </w:rPr>
              <w:t>▼</w:t>
            </w:r>
            <w:r w:rsidRPr="0018233F">
              <w:rPr>
                <w:rFonts w:asciiTheme="minorHAnsi" w:hAnsiTheme="minorHAnsi" w:cs="Arial"/>
                <w:color w:val="00B050"/>
                <w:lang w:eastAsia="en-US"/>
              </w:rPr>
              <w:t>5,3%</w:t>
            </w:r>
          </w:p>
        </w:tc>
        <w:tc>
          <w:tcPr>
            <w:tcW w:w="2551" w:type="dxa"/>
            <w:vAlign w:val="center"/>
          </w:tcPr>
          <w:p w14:paraId="4F556AC4" w14:textId="77777777" w:rsidR="00817598" w:rsidRPr="0018233F" w:rsidRDefault="00817598" w:rsidP="00034DB7">
            <w:pPr>
              <w:spacing w:before="60" w:after="60"/>
              <w:jc w:val="center"/>
              <w:rPr>
                <w:rFonts w:asciiTheme="minorHAnsi" w:hAnsiTheme="minorHAnsi" w:cs="Times New Roman"/>
                <w:lang w:val="en-US" w:eastAsia="en-US"/>
              </w:rPr>
            </w:pPr>
            <w:r w:rsidRPr="0018233F">
              <w:rPr>
                <w:rFonts w:cs="Arial"/>
                <w:color w:val="00B050"/>
                <w:lang w:eastAsia="en-US"/>
              </w:rPr>
              <w:t>▼</w:t>
            </w:r>
            <w:r w:rsidRPr="0018233F">
              <w:rPr>
                <w:rFonts w:asciiTheme="minorHAnsi" w:hAnsiTheme="minorHAnsi" w:cs="Arial"/>
                <w:color w:val="00B050"/>
                <w:lang w:eastAsia="en-US"/>
              </w:rPr>
              <w:t>13,7%</w:t>
            </w:r>
          </w:p>
        </w:tc>
        <w:tc>
          <w:tcPr>
            <w:tcW w:w="2516" w:type="dxa"/>
            <w:vAlign w:val="center"/>
          </w:tcPr>
          <w:p w14:paraId="1AEDBAE5" w14:textId="77777777" w:rsidR="00817598" w:rsidRPr="0018233F" w:rsidRDefault="00817598" w:rsidP="00034DB7">
            <w:pPr>
              <w:spacing w:before="60" w:after="60"/>
              <w:jc w:val="center"/>
              <w:rPr>
                <w:rFonts w:asciiTheme="minorHAnsi" w:hAnsiTheme="minorHAnsi" w:cs="Times New Roman"/>
                <w:lang w:val="en-US" w:eastAsia="en-US"/>
              </w:rPr>
            </w:pPr>
            <w:r w:rsidRPr="0018233F">
              <w:rPr>
                <w:rFonts w:cs="Arial"/>
                <w:color w:val="00B050"/>
                <w:lang w:eastAsia="en-US"/>
              </w:rPr>
              <w:t>▼</w:t>
            </w:r>
            <w:r w:rsidRPr="0018233F">
              <w:rPr>
                <w:rFonts w:asciiTheme="minorHAnsi" w:hAnsiTheme="minorHAnsi" w:cs="Arial"/>
                <w:color w:val="00B050"/>
                <w:lang w:eastAsia="en-US"/>
              </w:rPr>
              <w:t>15,8%</w:t>
            </w:r>
          </w:p>
        </w:tc>
      </w:tr>
      <w:tr w:rsidR="00817598" w:rsidRPr="008573CE" w14:paraId="6F90BC02" w14:textId="77777777" w:rsidTr="00034DB7">
        <w:tc>
          <w:tcPr>
            <w:tcW w:w="2660" w:type="dxa"/>
          </w:tcPr>
          <w:p w14:paraId="653BB3BA" w14:textId="77777777" w:rsidR="00817598" w:rsidRPr="008573CE" w:rsidRDefault="00817598" w:rsidP="00034DB7">
            <w:pPr>
              <w:spacing w:before="60" w:after="60"/>
              <w:rPr>
                <w:rFonts w:asciiTheme="minorHAnsi" w:hAnsiTheme="minorHAnsi" w:cs="Times New Roman"/>
                <w:b/>
                <w:lang w:eastAsia="en-US"/>
              </w:rPr>
            </w:pPr>
            <w:r>
              <w:rPr>
                <w:rFonts w:asciiTheme="minorHAnsi" w:hAnsiTheme="minorHAnsi" w:cs="Times New Roman"/>
                <w:b/>
                <w:lang w:eastAsia="en-US"/>
              </w:rPr>
              <w:t>Payback</w:t>
            </w:r>
          </w:p>
        </w:tc>
        <w:tc>
          <w:tcPr>
            <w:tcW w:w="2410" w:type="dxa"/>
            <w:vAlign w:val="center"/>
          </w:tcPr>
          <w:p w14:paraId="3E6ADA69" w14:textId="77777777" w:rsidR="00817598" w:rsidRPr="008573CE" w:rsidRDefault="00817598" w:rsidP="00034DB7">
            <w:pPr>
              <w:spacing w:before="60" w:after="60"/>
              <w:jc w:val="center"/>
              <w:rPr>
                <w:rFonts w:asciiTheme="minorHAnsi" w:hAnsiTheme="minorHAnsi" w:cs="Times New Roman"/>
                <w:color w:val="00B050"/>
                <w:lang w:eastAsia="en-US"/>
              </w:rPr>
            </w:pPr>
            <w:r w:rsidRPr="008573CE">
              <w:rPr>
                <w:rFonts w:asciiTheme="minorHAnsi" w:hAnsiTheme="minorHAnsi" w:cs="Times New Roman"/>
                <w:lang w:eastAsia="en-US"/>
              </w:rPr>
              <w:t>5</w:t>
            </w:r>
            <w:r w:rsidRPr="008573CE">
              <w:rPr>
                <w:rFonts w:asciiTheme="minorHAnsi" w:hAnsiTheme="minorHAnsi" w:cs="Times New Roman"/>
                <w:vertAlign w:val="superscript"/>
                <w:lang w:eastAsia="en-US"/>
              </w:rPr>
              <w:t>th</w:t>
            </w:r>
            <w:r w:rsidRPr="008573CE">
              <w:rPr>
                <w:rFonts w:asciiTheme="minorHAnsi" w:hAnsiTheme="minorHAnsi" w:cs="Times New Roman"/>
                <w:lang w:eastAsia="en-US"/>
              </w:rPr>
              <w:t xml:space="preserve"> year</w:t>
            </w:r>
          </w:p>
        </w:tc>
        <w:tc>
          <w:tcPr>
            <w:tcW w:w="2551" w:type="dxa"/>
            <w:vAlign w:val="center"/>
          </w:tcPr>
          <w:p w14:paraId="2449C0F1" w14:textId="77777777" w:rsidR="00817598" w:rsidRPr="008573CE" w:rsidRDefault="00817598" w:rsidP="00034DB7">
            <w:pPr>
              <w:spacing w:before="60" w:after="60"/>
              <w:jc w:val="center"/>
              <w:rPr>
                <w:rFonts w:asciiTheme="minorHAnsi" w:hAnsiTheme="minorHAnsi" w:cs="Times New Roman"/>
                <w:color w:val="00B050"/>
                <w:lang w:eastAsia="en-US"/>
              </w:rPr>
            </w:pPr>
            <w:r w:rsidRPr="008573CE">
              <w:rPr>
                <w:rFonts w:asciiTheme="minorHAnsi" w:hAnsiTheme="minorHAnsi" w:cs="Times New Roman"/>
                <w:lang w:eastAsia="en-US"/>
              </w:rPr>
              <w:t>3</w:t>
            </w:r>
            <w:r w:rsidRPr="008573CE">
              <w:rPr>
                <w:rFonts w:asciiTheme="minorHAnsi" w:hAnsiTheme="minorHAnsi" w:cs="Times New Roman"/>
                <w:vertAlign w:val="superscript"/>
                <w:lang w:eastAsia="en-US"/>
              </w:rPr>
              <w:t>rd</w:t>
            </w:r>
            <w:r w:rsidRPr="008573CE">
              <w:rPr>
                <w:rFonts w:asciiTheme="minorHAnsi" w:hAnsiTheme="minorHAnsi" w:cs="Times New Roman"/>
                <w:lang w:eastAsia="en-US"/>
              </w:rPr>
              <w:t xml:space="preserve"> year</w:t>
            </w:r>
          </w:p>
        </w:tc>
        <w:tc>
          <w:tcPr>
            <w:tcW w:w="2516" w:type="dxa"/>
            <w:vAlign w:val="center"/>
          </w:tcPr>
          <w:p w14:paraId="3C7BAC60" w14:textId="77777777" w:rsidR="00817598" w:rsidRPr="008573CE" w:rsidRDefault="00817598" w:rsidP="00034DB7">
            <w:pPr>
              <w:keepNext/>
              <w:spacing w:before="60" w:after="60"/>
              <w:jc w:val="center"/>
              <w:rPr>
                <w:rFonts w:asciiTheme="minorHAnsi" w:hAnsiTheme="minorHAnsi" w:cs="Times New Roman"/>
                <w:color w:val="C00000"/>
                <w:lang w:eastAsia="en-US"/>
              </w:rPr>
            </w:pPr>
            <w:r w:rsidRPr="008573CE">
              <w:rPr>
                <w:rFonts w:asciiTheme="minorHAnsi" w:hAnsiTheme="minorHAnsi" w:cs="Times New Roman"/>
                <w:lang w:eastAsia="en-US"/>
              </w:rPr>
              <w:t>6</w:t>
            </w:r>
            <w:r w:rsidRPr="008573CE">
              <w:rPr>
                <w:rFonts w:asciiTheme="minorHAnsi" w:hAnsiTheme="minorHAnsi" w:cs="Times New Roman"/>
                <w:vertAlign w:val="superscript"/>
                <w:lang w:eastAsia="en-US"/>
              </w:rPr>
              <w:t>th</w:t>
            </w:r>
            <w:r w:rsidRPr="008573CE">
              <w:rPr>
                <w:rFonts w:asciiTheme="minorHAnsi" w:hAnsiTheme="minorHAnsi" w:cs="Times New Roman"/>
                <w:lang w:eastAsia="en-US"/>
              </w:rPr>
              <w:t xml:space="preserve"> year</w:t>
            </w:r>
          </w:p>
        </w:tc>
      </w:tr>
    </w:tbl>
    <w:p w14:paraId="1E899077" w14:textId="77777777" w:rsidR="00817598" w:rsidRDefault="00817598" w:rsidP="00817598">
      <w:pPr>
        <w:spacing w:after="120"/>
        <w:jc w:val="both"/>
        <w:rPr>
          <w:rFonts w:asciiTheme="minorHAnsi" w:eastAsia="Times New Roman" w:hAnsiTheme="minorHAnsi" w:cs="Times New Roman"/>
          <w:lang w:eastAsia="en-US"/>
        </w:rPr>
      </w:pPr>
    </w:p>
    <w:p w14:paraId="1E77E2E6" w14:textId="77777777" w:rsidR="00817598" w:rsidRDefault="00817598" w:rsidP="00817598">
      <w:pPr>
        <w:spacing w:after="120"/>
        <w:jc w:val="both"/>
        <w:rPr>
          <w:rFonts w:asciiTheme="minorHAnsi" w:eastAsia="Times New Roman" w:hAnsiTheme="minorHAnsi" w:cs="Times New Roman"/>
          <w:lang w:eastAsia="en-US"/>
        </w:rPr>
      </w:pPr>
      <w:r>
        <w:rPr>
          <w:rFonts w:asciiTheme="minorHAnsi" w:eastAsia="Times New Roman" w:hAnsiTheme="minorHAnsi" w:cs="Times New Roman"/>
          <w:lang w:eastAsia="en-US"/>
        </w:rPr>
        <w:t>In summary:</w:t>
      </w:r>
    </w:p>
    <w:p w14:paraId="784857D6" w14:textId="5D6C288D" w:rsidR="00817598" w:rsidRDefault="00A479C2" w:rsidP="00817598">
      <w:pPr>
        <w:pStyle w:val="ListParagraph"/>
        <w:numPr>
          <w:ilvl w:val="0"/>
          <w:numId w:val="38"/>
        </w:numPr>
        <w:spacing w:after="120"/>
        <w:contextualSpacing w:val="0"/>
        <w:jc w:val="both"/>
        <w:rPr>
          <w:rFonts w:asciiTheme="minorHAnsi" w:eastAsia="Times New Roman" w:hAnsiTheme="minorHAnsi" w:cs="Times New Roman"/>
          <w:lang w:eastAsia="en-US"/>
        </w:rPr>
      </w:pPr>
      <w:r>
        <w:rPr>
          <w:rFonts w:asciiTheme="minorHAnsi" w:eastAsia="Times New Roman" w:hAnsiTheme="minorHAnsi" w:cs="Times New Roman"/>
          <w:lang w:eastAsia="en-US"/>
        </w:rPr>
        <w:t xml:space="preserve">CAPEX-U: </w:t>
      </w:r>
      <w:r w:rsidR="00817598" w:rsidRPr="007237D1">
        <w:rPr>
          <w:rFonts w:asciiTheme="minorHAnsi" w:eastAsia="Times New Roman" w:hAnsiTheme="minorHAnsi" w:cs="Times New Roman"/>
          <w:lang w:eastAsia="en-US"/>
        </w:rPr>
        <w:t xml:space="preserve">CAPEX investment is shown as a percentage of the CAPEX for the reference scenario. The lowest investment is required by the “Hybrid Decentralised” architecture, while the highest corresponds to the “Redundant fully EGNOS”. </w:t>
      </w:r>
    </w:p>
    <w:p w14:paraId="0A5E951F" w14:textId="77777777" w:rsidR="00817598" w:rsidRPr="007237D1" w:rsidRDefault="00817598" w:rsidP="00817598">
      <w:pPr>
        <w:pStyle w:val="ListParagraph"/>
        <w:numPr>
          <w:ilvl w:val="0"/>
          <w:numId w:val="38"/>
        </w:numPr>
        <w:spacing w:after="120"/>
        <w:contextualSpacing w:val="0"/>
        <w:jc w:val="both"/>
        <w:rPr>
          <w:rFonts w:asciiTheme="minorHAnsi" w:eastAsia="Times New Roman" w:hAnsiTheme="minorHAnsi" w:cs="Times New Roman"/>
          <w:lang w:eastAsia="en-US"/>
        </w:rPr>
      </w:pPr>
      <w:r>
        <w:rPr>
          <w:rFonts w:asciiTheme="minorHAnsi" w:eastAsia="Times New Roman" w:hAnsiTheme="minorHAnsi" w:cs="Times New Roman"/>
          <w:lang w:eastAsia="en-US"/>
        </w:rPr>
        <w:t xml:space="preserve">The </w:t>
      </w:r>
      <w:r w:rsidRPr="007237D1">
        <w:rPr>
          <w:rFonts w:asciiTheme="minorHAnsi" w:eastAsia="Times New Roman" w:hAnsiTheme="minorHAnsi" w:cs="Times New Roman"/>
          <w:lang w:eastAsia="en-US"/>
        </w:rPr>
        <w:t xml:space="preserve">three EGNOS-based alternatives entail a yearly reduction in OPEX from 5% to almost 16% with regard to the </w:t>
      </w:r>
      <w:r w:rsidR="00296FBA">
        <w:rPr>
          <w:rFonts w:asciiTheme="minorHAnsi" w:eastAsia="Times New Roman" w:hAnsiTheme="minorHAnsi" w:cs="Times New Roman"/>
          <w:lang w:eastAsia="en-US"/>
        </w:rPr>
        <w:t>OPEX</w:t>
      </w:r>
      <w:r w:rsidRPr="007237D1">
        <w:rPr>
          <w:rFonts w:asciiTheme="minorHAnsi" w:eastAsia="Times New Roman" w:hAnsiTheme="minorHAnsi" w:cs="Times New Roman"/>
          <w:lang w:eastAsia="en-US"/>
        </w:rPr>
        <w:t xml:space="preserve"> of the reference scenario.</w:t>
      </w:r>
    </w:p>
    <w:p w14:paraId="698B7AC9" w14:textId="77777777" w:rsidR="00817598" w:rsidRDefault="00817598" w:rsidP="00817598">
      <w:pPr>
        <w:pStyle w:val="ListParagraph"/>
        <w:numPr>
          <w:ilvl w:val="0"/>
          <w:numId w:val="36"/>
        </w:numPr>
        <w:spacing w:after="120"/>
        <w:ind w:left="714" w:hanging="357"/>
        <w:contextualSpacing w:val="0"/>
        <w:jc w:val="both"/>
        <w:rPr>
          <w:rFonts w:asciiTheme="minorHAnsi" w:eastAsia="Times New Roman" w:hAnsiTheme="minorHAnsi" w:cs="Times New Roman"/>
          <w:lang w:eastAsia="en-US"/>
        </w:rPr>
      </w:pPr>
      <w:r w:rsidRPr="001305FB">
        <w:rPr>
          <w:rFonts w:asciiTheme="minorHAnsi" w:eastAsia="Times New Roman" w:hAnsiTheme="minorHAnsi" w:cs="Times New Roman"/>
          <w:lang w:eastAsia="en-US"/>
        </w:rPr>
        <w:t>Accrued savings after 5 years of operation are</w:t>
      </w:r>
      <w:r>
        <w:rPr>
          <w:rFonts w:asciiTheme="minorHAnsi" w:eastAsia="Times New Roman" w:hAnsiTheme="minorHAnsi" w:cs="Times New Roman"/>
          <w:lang w:eastAsia="en-US"/>
        </w:rPr>
        <w:t xml:space="preserve"> positive in the </w:t>
      </w:r>
      <w:r w:rsidRPr="001305FB">
        <w:rPr>
          <w:rFonts w:asciiTheme="minorHAnsi" w:eastAsia="Times New Roman" w:hAnsiTheme="minorHAnsi" w:cs="Times New Roman"/>
          <w:lang w:eastAsia="en-US"/>
        </w:rPr>
        <w:t xml:space="preserve">“Hybrid Decentralised” </w:t>
      </w:r>
      <w:r>
        <w:rPr>
          <w:rFonts w:asciiTheme="minorHAnsi" w:eastAsia="Times New Roman" w:hAnsiTheme="minorHAnsi" w:cs="Times New Roman"/>
          <w:lang w:eastAsia="en-US"/>
        </w:rPr>
        <w:t xml:space="preserve">and </w:t>
      </w:r>
      <w:r w:rsidRPr="001305FB">
        <w:rPr>
          <w:rFonts w:asciiTheme="minorHAnsi" w:eastAsia="Times New Roman" w:hAnsiTheme="minorHAnsi" w:cs="Times New Roman"/>
          <w:lang w:eastAsia="en-US"/>
        </w:rPr>
        <w:t xml:space="preserve">“Hybrid Centralised” </w:t>
      </w:r>
      <w:r>
        <w:rPr>
          <w:rFonts w:asciiTheme="minorHAnsi" w:eastAsia="Times New Roman" w:hAnsiTheme="minorHAnsi" w:cs="Times New Roman"/>
          <w:lang w:eastAsia="en-US"/>
        </w:rPr>
        <w:t>alternatives</w:t>
      </w:r>
      <w:r w:rsidRPr="001305FB">
        <w:rPr>
          <w:rFonts w:asciiTheme="minorHAnsi" w:eastAsia="Times New Roman" w:hAnsiTheme="minorHAnsi" w:cs="Times New Roman"/>
          <w:lang w:eastAsia="en-US"/>
        </w:rPr>
        <w:t>.</w:t>
      </w:r>
      <w:r>
        <w:rPr>
          <w:rFonts w:asciiTheme="minorHAnsi" w:eastAsia="Times New Roman" w:hAnsiTheme="minorHAnsi" w:cs="Times New Roman"/>
          <w:lang w:eastAsia="en-US"/>
        </w:rPr>
        <w:t xml:space="preserve"> Due to the higher yearly decrease</w:t>
      </w:r>
      <w:r w:rsidRPr="001305FB">
        <w:rPr>
          <w:rFonts w:asciiTheme="minorHAnsi" w:eastAsia="Times New Roman" w:hAnsiTheme="minorHAnsi" w:cs="Times New Roman"/>
          <w:lang w:eastAsia="en-US"/>
        </w:rPr>
        <w:t xml:space="preserve"> </w:t>
      </w:r>
      <w:r>
        <w:rPr>
          <w:rFonts w:asciiTheme="minorHAnsi" w:eastAsia="Times New Roman" w:hAnsiTheme="minorHAnsi" w:cs="Times New Roman"/>
          <w:lang w:eastAsia="en-US"/>
        </w:rPr>
        <w:t>in OPEX and the similar CAPEX investment, the accrued savings after 5 years in the “Hybrid Centralised” alternative are 32 times higher than in the</w:t>
      </w:r>
      <w:r w:rsidRPr="007237D1">
        <w:rPr>
          <w:rFonts w:asciiTheme="minorHAnsi" w:eastAsia="Times New Roman" w:hAnsiTheme="minorHAnsi" w:cs="Times New Roman"/>
          <w:lang w:eastAsia="en-US"/>
        </w:rPr>
        <w:t xml:space="preserve"> “Hybrid Decentralised”. </w:t>
      </w:r>
    </w:p>
    <w:p w14:paraId="26F25786" w14:textId="77777777" w:rsidR="00817598" w:rsidRPr="007237D1" w:rsidRDefault="00817598" w:rsidP="00817598">
      <w:pPr>
        <w:pStyle w:val="ListParagraph"/>
        <w:numPr>
          <w:ilvl w:val="0"/>
          <w:numId w:val="36"/>
        </w:numPr>
        <w:spacing w:after="120"/>
        <w:ind w:left="714" w:hanging="357"/>
        <w:contextualSpacing w:val="0"/>
        <w:jc w:val="both"/>
        <w:rPr>
          <w:rFonts w:asciiTheme="minorHAnsi" w:eastAsia="Times New Roman" w:hAnsiTheme="minorHAnsi" w:cs="Times New Roman"/>
          <w:lang w:eastAsia="en-US"/>
        </w:rPr>
      </w:pPr>
      <w:r>
        <w:rPr>
          <w:rFonts w:asciiTheme="minorHAnsi" w:eastAsia="Times New Roman" w:hAnsiTheme="minorHAnsi" w:cs="Times New Roman"/>
          <w:lang w:eastAsia="en-US"/>
        </w:rPr>
        <w:t>It is not possible to obtain any a</w:t>
      </w:r>
      <w:r w:rsidRPr="001305FB">
        <w:rPr>
          <w:rFonts w:asciiTheme="minorHAnsi" w:eastAsia="Times New Roman" w:hAnsiTheme="minorHAnsi" w:cs="Times New Roman"/>
          <w:lang w:eastAsia="en-US"/>
        </w:rPr>
        <w:t xml:space="preserve">ccrued saving after 5 years of operation in the “Redundant fully EGNOS” </w:t>
      </w:r>
      <w:r>
        <w:rPr>
          <w:rFonts w:asciiTheme="minorHAnsi" w:eastAsia="Times New Roman" w:hAnsiTheme="minorHAnsi" w:cs="Times New Roman"/>
          <w:lang w:eastAsia="en-US"/>
        </w:rPr>
        <w:t>since the payback period is 6 years</w:t>
      </w:r>
      <w:r w:rsidRPr="001305FB">
        <w:rPr>
          <w:rFonts w:asciiTheme="minorHAnsi" w:eastAsia="Times New Roman" w:hAnsiTheme="minorHAnsi" w:cs="Times New Roman"/>
          <w:lang w:eastAsia="en-US"/>
        </w:rPr>
        <w:t>.</w:t>
      </w:r>
    </w:p>
    <w:p w14:paraId="3A1475BD" w14:textId="77777777" w:rsidR="00817598" w:rsidRDefault="00817598" w:rsidP="00817598">
      <w:pPr>
        <w:spacing w:after="120"/>
        <w:jc w:val="both"/>
        <w:rPr>
          <w:rFonts w:asciiTheme="minorHAnsi" w:eastAsia="Times New Roman" w:hAnsiTheme="minorHAnsi" w:cs="Times New Roman"/>
          <w:lang w:eastAsia="en-US"/>
        </w:rPr>
      </w:pPr>
      <w:r w:rsidRPr="00741179">
        <w:rPr>
          <w:rFonts w:asciiTheme="minorHAnsi" w:eastAsia="Times New Roman" w:hAnsiTheme="minorHAnsi" w:cs="Times New Roman"/>
          <w:lang w:eastAsia="en-US"/>
        </w:rPr>
        <w:t>In case that an infrastructure’s upgrade is possible, by reusing some parts of the current architecture, this analysis concludes that the most promising architecture in terms of costs is the “</w:t>
      </w:r>
      <w:r w:rsidRPr="008573CE">
        <w:rPr>
          <w:rFonts w:asciiTheme="minorHAnsi" w:eastAsia="Times New Roman" w:hAnsiTheme="minorHAnsi" w:cs="Times New Roman"/>
          <w:lang w:eastAsia="en-US"/>
        </w:rPr>
        <w:t>Hybrid Centralised</w:t>
      </w:r>
      <w:r w:rsidRPr="00741179">
        <w:rPr>
          <w:rFonts w:asciiTheme="minorHAnsi" w:eastAsia="Times New Roman" w:hAnsiTheme="minorHAnsi" w:cs="Times New Roman"/>
          <w:lang w:eastAsia="en-US"/>
        </w:rPr>
        <w:t xml:space="preserve">”. The </w:t>
      </w:r>
      <w:r>
        <w:rPr>
          <w:rFonts w:asciiTheme="minorHAnsi" w:eastAsia="Times New Roman" w:hAnsiTheme="minorHAnsi" w:cs="Times New Roman"/>
          <w:lang w:eastAsia="en-US"/>
        </w:rPr>
        <w:t>payback</w:t>
      </w:r>
      <w:r w:rsidRPr="00741179">
        <w:rPr>
          <w:rFonts w:asciiTheme="minorHAnsi" w:eastAsia="Times New Roman" w:hAnsiTheme="minorHAnsi" w:cs="Times New Roman"/>
          <w:lang w:eastAsia="en-US"/>
        </w:rPr>
        <w:t xml:space="preserve"> would happen after three years of operation and the cumulative savings after 5 years of operation are </w:t>
      </w:r>
      <w:r>
        <w:rPr>
          <w:rFonts w:asciiTheme="minorHAnsi" w:eastAsia="Times New Roman" w:hAnsiTheme="minorHAnsi" w:cs="Times New Roman"/>
          <w:lang w:eastAsia="en-US"/>
        </w:rPr>
        <w:t>higher than in the other alternatives</w:t>
      </w:r>
      <w:r w:rsidRPr="00741179">
        <w:rPr>
          <w:rFonts w:asciiTheme="minorHAnsi" w:eastAsia="Times New Roman" w:hAnsiTheme="minorHAnsi" w:cs="Times New Roman"/>
          <w:lang w:eastAsia="en-US"/>
        </w:rPr>
        <w:t>.</w:t>
      </w:r>
    </w:p>
    <w:p w14:paraId="3DF5A721" w14:textId="77777777" w:rsidR="00817598" w:rsidRPr="00B5514B" w:rsidRDefault="00817598" w:rsidP="00B5514B">
      <w:pPr>
        <w:spacing w:after="120"/>
        <w:jc w:val="both"/>
        <w:rPr>
          <w:rFonts w:asciiTheme="minorHAnsi" w:hAnsiTheme="minorHAnsi"/>
        </w:rPr>
      </w:pPr>
    </w:p>
    <w:p w14:paraId="1419842B" w14:textId="77777777" w:rsidR="007237D1" w:rsidRPr="007237D1" w:rsidRDefault="007237D1" w:rsidP="007237D1">
      <w:pPr>
        <w:pStyle w:val="AnnexHeading1"/>
        <w:keepNext/>
        <w:numPr>
          <w:ilvl w:val="2"/>
          <w:numId w:val="16"/>
        </w:numPr>
      </w:pPr>
      <w:r w:rsidRPr="007237D1">
        <w:t>New infrastructure</w:t>
      </w:r>
    </w:p>
    <w:p w14:paraId="31F01DAB" w14:textId="77777777" w:rsidR="00741179" w:rsidRDefault="00741179" w:rsidP="00741179">
      <w:pPr>
        <w:spacing w:after="120"/>
        <w:jc w:val="both"/>
        <w:rPr>
          <w:rFonts w:asciiTheme="minorHAnsi" w:eastAsia="Times New Roman" w:hAnsiTheme="minorHAnsi" w:cs="Times New Roman"/>
          <w:lang w:eastAsia="en-US"/>
        </w:rPr>
      </w:pPr>
      <w:r w:rsidRPr="00741179">
        <w:rPr>
          <w:rFonts w:asciiTheme="minorHAnsi" w:eastAsia="Times New Roman" w:hAnsiTheme="minorHAnsi" w:cs="Times New Roman"/>
          <w:lang w:eastAsia="en-US"/>
        </w:rPr>
        <w:t xml:space="preserve">The following table summarises the </w:t>
      </w:r>
      <w:r w:rsidR="0018233F">
        <w:rPr>
          <w:rFonts w:asciiTheme="minorHAnsi" w:eastAsia="Times New Roman" w:hAnsiTheme="minorHAnsi" w:cs="Times New Roman"/>
          <w:lang w:eastAsia="en-US"/>
        </w:rPr>
        <w:t xml:space="preserve">variation in percentage with regard to the </w:t>
      </w:r>
      <w:r w:rsidR="00D4285F">
        <w:rPr>
          <w:rFonts w:asciiTheme="minorHAnsi" w:eastAsia="Times New Roman" w:hAnsiTheme="minorHAnsi" w:cs="Times New Roman"/>
          <w:lang w:eastAsia="en-US"/>
        </w:rPr>
        <w:t xml:space="preserve">CAPEX and OPEX of the </w:t>
      </w:r>
      <w:r w:rsidR="0018233F">
        <w:rPr>
          <w:rFonts w:asciiTheme="minorHAnsi" w:eastAsia="Times New Roman" w:hAnsiTheme="minorHAnsi" w:cs="Times New Roman"/>
          <w:lang w:eastAsia="en-US"/>
        </w:rPr>
        <w:t xml:space="preserve">reference scenario </w:t>
      </w:r>
      <w:r w:rsidRPr="00741179">
        <w:rPr>
          <w:rFonts w:asciiTheme="minorHAnsi" w:eastAsia="Times New Roman" w:hAnsiTheme="minorHAnsi" w:cs="Times New Roman"/>
          <w:lang w:eastAsia="en-US"/>
        </w:rPr>
        <w:t>in the 10 stations case</w:t>
      </w:r>
      <w:r w:rsidR="00D4285F">
        <w:rPr>
          <w:rFonts w:asciiTheme="minorHAnsi" w:eastAsia="Times New Roman" w:hAnsiTheme="minorHAnsi" w:cs="Times New Roman"/>
          <w:lang w:eastAsia="en-US"/>
        </w:rPr>
        <w:t>,</w:t>
      </w:r>
      <w:r w:rsidR="00B5514B">
        <w:rPr>
          <w:rFonts w:asciiTheme="minorHAnsi" w:eastAsia="Times New Roman" w:hAnsiTheme="minorHAnsi" w:cs="Times New Roman"/>
          <w:lang w:eastAsia="en-US"/>
        </w:rPr>
        <w:t xml:space="preserve"> </w:t>
      </w:r>
      <w:r w:rsidR="00D4285F">
        <w:rPr>
          <w:rFonts w:asciiTheme="minorHAnsi" w:eastAsia="Times New Roman" w:hAnsiTheme="minorHAnsi" w:cs="Times New Roman"/>
          <w:lang w:eastAsia="en-US"/>
        </w:rPr>
        <w:t>assuming that</w:t>
      </w:r>
      <w:r w:rsidR="00B5514B">
        <w:rPr>
          <w:rFonts w:asciiTheme="minorHAnsi" w:eastAsia="Times New Roman" w:hAnsiTheme="minorHAnsi" w:cs="Times New Roman"/>
          <w:lang w:eastAsia="en-US"/>
        </w:rPr>
        <w:t xml:space="preserve"> </w:t>
      </w:r>
      <w:r w:rsidR="00B5514B">
        <w:rPr>
          <w:rFonts w:asciiTheme="minorHAnsi" w:hAnsiTheme="minorHAnsi"/>
        </w:rPr>
        <w:t>t</w:t>
      </w:r>
      <w:r w:rsidR="00B5514B" w:rsidRPr="00B5514B">
        <w:rPr>
          <w:rFonts w:asciiTheme="minorHAnsi" w:hAnsiTheme="minorHAnsi"/>
        </w:rPr>
        <w:t>he reference and the alternate scenarios are built from scratch</w:t>
      </w:r>
      <w:r w:rsidRPr="00741179">
        <w:rPr>
          <w:rFonts w:asciiTheme="minorHAnsi" w:eastAsia="Times New Roman" w:hAnsiTheme="minorHAnsi" w:cs="Times New Roman"/>
          <w:lang w:eastAsia="en-US"/>
        </w:rPr>
        <w:t>:</w:t>
      </w:r>
    </w:p>
    <w:p w14:paraId="63AEFDDD" w14:textId="77777777" w:rsidR="007779CB" w:rsidRPr="007779CB" w:rsidRDefault="007779CB" w:rsidP="007237D1">
      <w:pPr>
        <w:pStyle w:val="Table"/>
        <w:numPr>
          <w:ilvl w:val="0"/>
          <w:numId w:val="35"/>
        </w:numPr>
        <w:rPr>
          <w:rFonts w:ascii="Calibri" w:hAnsi="Calibri"/>
        </w:rPr>
      </w:pPr>
      <w:bookmarkStart w:id="13" w:name="_Ref475452877"/>
      <w:r w:rsidRPr="00741179">
        <w:rPr>
          <w:rFonts w:asciiTheme="minorHAnsi" w:eastAsia="Times New Roman" w:hAnsiTheme="minorHAnsi" w:cs="Times New Roman"/>
          <w:lang w:eastAsia="en-US"/>
        </w:rPr>
        <w:t xml:space="preserve">Costs </w:t>
      </w:r>
      <w:r w:rsidR="00B5514B">
        <w:rPr>
          <w:rFonts w:asciiTheme="minorHAnsi" w:eastAsia="Times New Roman" w:hAnsiTheme="minorHAnsi" w:cs="Times New Roman"/>
          <w:lang w:eastAsia="en-US"/>
        </w:rPr>
        <w:t xml:space="preserve">variation </w:t>
      </w:r>
      <w:r w:rsidRPr="00741179">
        <w:rPr>
          <w:rFonts w:asciiTheme="minorHAnsi" w:eastAsia="Times New Roman" w:hAnsiTheme="minorHAnsi" w:cs="Times New Roman"/>
          <w:lang w:eastAsia="en-US"/>
        </w:rPr>
        <w:t xml:space="preserve"> – 10 stations – new infrastructure</w:t>
      </w:r>
      <w:bookmarkEnd w:id="13"/>
    </w:p>
    <w:tbl>
      <w:tblPr>
        <w:tblStyle w:val="TableGrid3"/>
        <w:tblW w:w="0" w:type="auto"/>
        <w:jc w:val="center"/>
        <w:tblLook w:val="04A0" w:firstRow="1" w:lastRow="0" w:firstColumn="1" w:lastColumn="0" w:noHBand="0" w:noVBand="1"/>
      </w:tblPr>
      <w:tblGrid>
        <w:gridCol w:w="2569"/>
        <w:gridCol w:w="1793"/>
        <w:gridCol w:w="1880"/>
        <w:gridCol w:w="1859"/>
      </w:tblGrid>
      <w:tr w:rsidR="0018233F" w:rsidRPr="0018233F" w14:paraId="7A9D27C3" w14:textId="77777777" w:rsidTr="001D6C19">
        <w:trPr>
          <w:jc w:val="center"/>
        </w:trPr>
        <w:tc>
          <w:tcPr>
            <w:tcW w:w="2569" w:type="dxa"/>
            <w:vAlign w:val="center"/>
          </w:tcPr>
          <w:p w14:paraId="4B4DF1D5" w14:textId="77777777" w:rsidR="0018233F" w:rsidRPr="0018233F" w:rsidRDefault="0018233F" w:rsidP="00741179">
            <w:pPr>
              <w:spacing w:before="60" w:after="60"/>
              <w:jc w:val="center"/>
              <w:rPr>
                <w:rFonts w:asciiTheme="minorHAnsi" w:hAnsiTheme="minorHAnsi" w:cs="Times New Roman"/>
                <w:b/>
                <w:lang w:val="en-US" w:eastAsia="en-US"/>
              </w:rPr>
            </w:pPr>
            <w:r w:rsidRPr="0018233F">
              <w:rPr>
                <w:rFonts w:asciiTheme="minorHAnsi" w:hAnsiTheme="minorHAnsi" w:cs="Times New Roman"/>
                <w:b/>
                <w:lang w:val="en-US" w:eastAsia="en-US"/>
              </w:rPr>
              <w:t xml:space="preserve">10 stations </w:t>
            </w:r>
          </w:p>
          <w:p w14:paraId="08435D76" w14:textId="77777777" w:rsidR="0018233F" w:rsidRPr="0018233F" w:rsidRDefault="0018233F" w:rsidP="00741179">
            <w:pPr>
              <w:spacing w:before="60" w:after="60"/>
              <w:jc w:val="center"/>
              <w:rPr>
                <w:rFonts w:asciiTheme="minorHAnsi" w:hAnsiTheme="minorHAnsi" w:cs="Times New Roman"/>
                <w:b/>
                <w:lang w:val="en-US" w:eastAsia="en-US"/>
              </w:rPr>
            </w:pPr>
            <w:r w:rsidRPr="0018233F">
              <w:rPr>
                <w:rFonts w:asciiTheme="minorHAnsi" w:hAnsiTheme="minorHAnsi" w:cs="Times New Roman"/>
                <w:b/>
                <w:lang w:val="en-US" w:eastAsia="en-US"/>
              </w:rPr>
              <w:t xml:space="preserve">New infrastructure </w:t>
            </w:r>
          </w:p>
        </w:tc>
        <w:tc>
          <w:tcPr>
            <w:tcW w:w="1793" w:type="dxa"/>
            <w:vAlign w:val="center"/>
          </w:tcPr>
          <w:p w14:paraId="1B652C9F" w14:textId="77777777" w:rsidR="0018233F" w:rsidRPr="0018233F" w:rsidRDefault="0018233F" w:rsidP="00C34B41">
            <w:pPr>
              <w:spacing w:before="60" w:after="60"/>
              <w:jc w:val="center"/>
              <w:rPr>
                <w:rFonts w:asciiTheme="minorHAnsi" w:hAnsiTheme="minorHAnsi" w:cs="Times New Roman"/>
                <w:b/>
                <w:lang w:eastAsia="en-US"/>
              </w:rPr>
            </w:pPr>
            <w:r w:rsidRPr="0018233F">
              <w:rPr>
                <w:rFonts w:asciiTheme="minorHAnsi" w:hAnsiTheme="minorHAnsi" w:cs="Times New Roman"/>
                <w:b/>
                <w:lang w:eastAsia="en-US"/>
              </w:rPr>
              <w:t>Hybrid Decentralised</w:t>
            </w:r>
          </w:p>
        </w:tc>
        <w:tc>
          <w:tcPr>
            <w:tcW w:w="1880" w:type="dxa"/>
            <w:vAlign w:val="center"/>
          </w:tcPr>
          <w:p w14:paraId="136D7E72" w14:textId="77777777" w:rsidR="0018233F" w:rsidRPr="0018233F" w:rsidRDefault="0018233F" w:rsidP="00C34B41">
            <w:pPr>
              <w:spacing w:before="60" w:after="60"/>
              <w:jc w:val="center"/>
              <w:rPr>
                <w:rFonts w:asciiTheme="minorHAnsi" w:hAnsiTheme="minorHAnsi" w:cs="Times New Roman"/>
                <w:b/>
                <w:lang w:eastAsia="en-US"/>
              </w:rPr>
            </w:pPr>
            <w:r w:rsidRPr="0018233F">
              <w:rPr>
                <w:rFonts w:asciiTheme="minorHAnsi" w:hAnsiTheme="minorHAnsi" w:cs="Times New Roman"/>
                <w:b/>
                <w:lang w:eastAsia="en-US"/>
              </w:rPr>
              <w:t>Hybrid Centralised</w:t>
            </w:r>
          </w:p>
        </w:tc>
        <w:tc>
          <w:tcPr>
            <w:tcW w:w="1859" w:type="dxa"/>
            <w:vAlign w:val="center"/>
          </w:tcPr>
          <w:p w14:paraId="6A98951B" w14:textId="77777777" w:rsidR="0018233F" w:rsidRPr="0018233F" w:rsidRDefault="0018233F" w:rsidP="00C34B41">
            <w:pPr>
              <w:spacing w:before="60" w:after="60"/>
              <w:jc w:val="center"/>
              <w:rPr>
                <w:rFonts w:asciiTheme="minorHAnsi" w:hAnsiTheme="minorHAnsi" w:cs="Times New Roman"/>
                <w:b/>
                <w:lang w:eastAsia="en-US"/>
              </w:rPr>
            </w:pPr>
            <w:r w:rsidRPr="0018233F">
              <w:rPr>
                <w:rFonts w:asciiTheme="minorHAnsi" w:hAnsiTheme="minorHAnsi" w:cs="Times New Roman"/>
                <w:b/>
                <w:lang w:eastAsia="en-US"/>
              </w:rPr>
              <w:t>Redundant fully EGNOS</w:t>
            </w:r>
          </w:p>
        </w:tc>
      </w:tr>
      <w:tr w:rsidR="0018233F" w:rsidRPr="0018233F" w14:paraId="4B46F339" w14:textId="77777777" w:rsidTr="001D6C19">
        <w:trPr>
          <w:jc w:val="center"/>
        </w:trPr>
        <w:tc>
          <w:tcPr>
            <w:tcW w:w="2569" w:type="dxa"/>
          </w:tcPr>
          <w:p w14:paraId="7A0B66D0" w14:textId="362947D7" w:rsidR="0018233F" w:rsidRPr="0018233F" w:rsidRDefault="0018233F" w:rsidP="00741179">
            <w:pPr>
              <w:spacing w:before="60" w:after="60"/>
              <w:rPr>
                <w:rFonts w:asciiTheme="minorHAnsi" w:hAnsiTheme="minorHAnsi" w:cs="Times New Roman"/>
                <w:b/>
                <w:lang w:val="en-US" w:eastAsia="en-US"/>
              </w:rPr>
            </w:pPr>
            <w:r w:rsidRPr="0018233F">
              <w:rPr>
                <w:rFonts w:asciiTheme="minorHAnsi" w:hAnsiTheme="minorHAnsi" w:cs="Times New Roman"/>
                <w:b/>
                <w:lang w:val="en-US" w:eastAsia="en-US"/>
              </w:rPr>
              <w:t>CAPEX</w:t>
            </w:r>
            <w:r w:rsidR="001953C0">
              <w:rPr>
                <w:rFonts w:asciiTheme="minorHAnsi" w:hAnsiTheme="minorHAnsi" w:cs="Times New Roman"/>
                <w:b/>
                <w:lang w:val="en-US" w:eastAsia="en-US"/>
              </w:rPr>
              <w:t>-D</w:t>
            </w:r>
          </w:p>
        </w:tc>
        <w:tc>
          <w:tcPr>
            <w:tcW w:w="1793" w:type="dxa"/>
            <w:vAlign w:val="center"/>
          </w:tcPr>
          <w:p w14:paraId="227426E3" w14:textId="77777777" w:rsidR="0018233F" w:rsidRPr="0018233F" w:rsidRDefault="0018233F" w:rsidP="00741179">
            <w:pPr>
              <w:spacing w:before="60" w:after="60"/>
              <w:jc w:val="center"/>
              <w:rPr>
                <w:rFonts w:asciiTheme="minorHAnsi" w:hAnsiTheme="minorHAnsi" w:cs="Times New Roman"/>
                <w:lang w:val="en-US" w:eastAsia="en-US"/>
              </w:rPr>
            </w:pPr>
            <w:r w:rsidRPr="0018233F">
              <w:rPr>
                <w:rFonts w:cs="Arial"/>
                <w:color w:val="00B050"/>
                <w:lang w:eastAsia="en-US"/>
              </w:rPr>
              <w:t>▼</w:t>
            </w:r>
            <w:r w:rsidRPr="0018233F">
              <w:rPr>
                <w:rFonts w:asciiTheme="minorHAnsi" w:hAnsiTheme="minorHAnsi" w:cs="Arial"/>
                <w:color w:val="00B050"/>
                <w:lang w:eastAsia="en-US"/>
              </w:rPr>
              <w:t>5,3%</w:t>
            </w:r>
          </w:p>
        </w:tc>
        <w:tc>
          <w:tcPr>
            <w:tcW w:w="1880" w:type="dxa"/>
            <w:vAlign w:val="center"/>
          </w:tcPr>
          <w:p w14:paraId="5D04868A" w14:textId="77777777" w:rsidR="0018233F" w:rsidRPr="0018233F" w:rsidRDefault="0018233F" w:rsidP="00741179">
            <w:pPr>
              <w:spacing w:before="60" w:after="60"/>
              <w:jc w:val="center"/>
              <w:rPr>
                <w:rFonts w:asciiTheme="minorHAnsi" w:hAnsiTheme="minorHAnsi" w:cs="Times New Roman"/>
                <w:lang w:val="en-US" w:eastAsia="en-US"/>
              </w:rPr>
            </w:pPr>
            <w:r w:rsidRPr="0018233F">
              <w:rPr>
                <w:rFonts w:cs="Arial"/>
                <w:color w:val="00B050"/>
                <w:lang w:eastAsia="en-US"/>
              </w:rPr>
              <w:t>▼</w:t>
            </w:r>
            <w:r w:rsidRPr="0018233F">
              <w:rPr>
                <w:rFonts w:asciiTheme="minorHAnsi" w:hAnsiTheme="minorHAnsi" w:cs="Arial"/>
                <w:color w:val="00B050"/>
                <w:lang w:eastAsia="en-US"/>
              </w:rPr>
              <w:t>14,8%</w:t>
            </w:r>
          </w:p>
        </w:tc>
        <w:tc>
          <w:tcPr>
            <w:tcW w:w="1859" w:type="dxa"/>
            <w:vAlign w:val="center"/>
          </w:tcPr>
          <w:p w14:paraId="11AA3F31" w14:textId="77777777" w:rsidR="0018233F" w:rsidRPr="0018233F" w:rsidRDefault="0018233F" w:rsidP="00741179">
            <w:pPr>
              <w:spacing w:before="60" w:after="60"/>
              <w:jc w:val="center"/>
              <w:rPr>
                <w:rFonts w:asciiTheme="minorHAnsi" w:hAnsiTheme="minorHAnsi" w:cs="Times New Roman"/>
                <w:lang w:val="en-US" w:eastAsia="en-US"/>
              </w:rPr>
            </w:pPr>
            <w:r w:rsidRPr="0018233F">
              <w:rPr>
                <w:rFonts w:cs="Arial"/>
                <w:color w:val="00B050"/>
                <w:lang w:eastAsia="en-US"/>
              </w:rPr>
              <w:t>▼</w:t>
            </w:r>
            <w:r w:rsidRPr="0018233F">
              <w:rPr>
                <w:rFonts w:asciiTheme="minorHAnsi" w:hAnsiTheme="minorHAnsi" w:cs="Arial"/>
                <w:color w:val="00B050"/>
                <w:lang w:eastAsia="en-US"/>
              </w:rPr>
              <w:t>16,9%</w:t>
            </w:r>
          </w:p>
        </w:tc>
      </w:tr>
      <w:tr w:rsidR="0018233F" w:rsidRPr="0018233F" w14:paraId="38E85A74" w14:textId="77777777" w:rsidTr="001D6C19">
        <w:trPr>
          <w:jc w:val="center"/>
        </w:trPr>
        <w:tc>
          <w:tcPr>
            <w:tcW w:w="2569" w:type="dxa"/>
          </w:tcPr>
          <w:p w14:paraId="7BEDA2ED" w14:textId="600B0A9A" w:rsidR="0018233F" w:rsidRPr="0018233F" w:rsidRDefault="0018233F" w:rsidP="001953C0">
            <w:pPr>
              <w:spacing w:before="60" w:after="60"/>
              <w:rPr>
                <w:rFonts w:asciiTheme="minorHAnsi" w:hAnsiTheme="minorHAnsi" w:cs="Times New Roman"/>
                <w:b/>
                <w:lang w:val="en-US" w:eastAsia="en-US"/>
              </w:rPr>
            </w:pPr>
            <w:r w:rsidRPr="0018233F">
              <w:rPr>
                <w:rFonts w:asciiTheme="minorHAnsi" w:hAnsiTheme="minorHAnsi" w:cs="Times New Roman"/>
                <w:b/>
                <w:lang w:val="en-US" w:eastAsia="en-US"/>
              </w:rPr>
              <w:t>OPEX</w:t>
            </w:r>
            <w:r w:rsidR="001953C0">
              <w:rPr>
                <w:rFonts w:asciiTheme="minorHAnsi" w:hAnsiTheme="minorHAnsi" w:cs="Times New Roman"/>
                <w:b/>
                <w:lang w:val="en-US" w:eastAsia="en-US"/>
              </w:rPr>
              <w:t>-D</w:t>
            </w:r>
          </w:p>
        </w:tc>
        <w:tc>
          <w:tcPr>
            <w:tcW w:w="1793" w:type="dxa"/>
            <w:vAlign w:val="center"/>
          </w:tcPr>
          <w:p w14:paraId="66905A67" w14:textId="77777777" w:rsidR="0018233F" w:rsidRPr="0018233F" w:rsidRDefault="0018233F" w:rsidP="00741179">
            <w:pPr>
              <w:spacing w:before="60" w:after="60"/>
              <w:jc w:val="center"/>
              <w:rPr>
                <w:rFonts w:asciiTheme="minorHAnsi" w:hAnsiTheme="minorHAnsi" w:cs="Times New Roman"/>
                <w:lang w:val="en-US" w:eastAsia="en-US"/>
              </w:rPr>
            </w:pPr>
            <w:r w:rsidRPr="0018233F">
              <w:rPr>
                <w:rFonts w:cs="Arial"/>
                <w:color w:val="00B050"/>
                <w:lang w:eastAsia="en-US"/>
              </w:rPr>
              <w:t>▼</w:t>
            </w:r>
            <w:r w:rsidRPr="0018233F">
              <w:rPr>
                <w:rFonts w:asciiTheme="minorHAnsi" w:hAnsiTheme="minorHAnsi" w:cs="Arial"/>
                <w:color w:val="00B050"/>
                <w:lang w:eastAsia="en-US"/>
              </w:rPr>
              <w:t>5,3%</w:t>
            </w:r>
          </w:p>
        </w:tc>
        <w:tc>
          <w:tcPr>
            <w:tcW w:w="1880" w:type="dxa"/>
            <w:vAlign w:val="center"/>
          </w:tcPr>
          <w:p w14:paraId="4AE90872" w14:textId="77777777" w:rsidR="0018233F" w:rsidRPr="0018233F" w:rsidRDefault="0018233F" w:rsidP="00741179">
            <w:pPr>
              <w:spacing w:before="60" w:after="60"/>
              <w:jc w:val="center"/>
              <w:rPr>
                <w:rFonts w:asciiTheme="minorHAnsi" w:hAnsiTheme="minorHAnsi" w:cs="Times New Roman"/>
                <w:lang w:val="en-US" w:eastAsia="en-US"/>
              </w:rPr>
            </w:pPr>
            <w:r w:rsidRPr="0018233F">
              <w:rPr>
                <w:rFonts w:cs="Arial"/>
                <w:color w:val="00B050"/>
                <w:lang w:eastAsia="en-US"/>
              </w:rPr>
              <w:t>▼</w:t>
            </w:r>
            <w:r w:rsidRPr="0018233F">
              <w:rPr>
                <w:rFonts w:asciiTheme="minorHAnsi" w:hAnsiTheme="minorHAnsi" w:cs="Arial"/>
                <w:color w:val="00B050"/>
                <w:lang w:eastAsia="en-US"/>
              </w:rPr>
              <w:t>13,7%</w:t>
            </w:r>
          </w:p>
        </w:tc>
        <w:tc>
          <w:tcPr>
            <w:tcW w:w="1859" w:type="dxa"/>
            <w:vAlign w:val="center"/>
          </w:tcPr>
          <w:p w14:paraId="68F5CDE3" w14:textId="77777777" w:rsidR="0018233F" w:rsidRPr="0018233F" w:rsidRDefault="0018233F" w:rsidP="00741179">
            <w:pPr>
              <w:spacing w:before="60" w:after="60"/>
              <w:jc w:val="center"/>
              <w:rPr>
                <w:rFonts w:asciiTheme="minorHAnsi" w:hAnsiTheme="minorHAnsi" w:cs="Times New Roman"/>
                <w:lang w:val="en-US" w:eastAsia="en-US"/>
              </w:rPr>
            </w:pPr>
            <w:r w:rsidRPr="0018233F">
              <w:rPr>
                <w:rFonts w:cs="Arial"/>
                <w:color w:val="00B050"/>
                <w:lang w:eastAsia="en-US"/>
              </w:rPr>
              <w:t>▼</w:t>
            </w:r>
            <w:r w:rsidRPr="0018233F">
              <w:rPr>
                <w:rFonts w:asciiTheme="minorHAnsi" w:hAnsiTheme="minorHAnsi" w:cs="Arial"/>
                <w:color w:val="00B050"/>
                <w:lang w:eastAsia="en-US"/>
              </w:rPr>
              <w:t>15,8%</w:t>
            </w:r>
          </w:p>
        </w:tc>
      </w:tr>
    </w:tbl>
    <w:p w14:paraId="44E2D793" w14:textId="77777777" w:rsidR="001305FB" w:rsidRDefault="001305FB" w:rsidP="00A86471">
      <w:pPr>
        <w:spacing w:before="120" w:after="120"/>
        <w:jc w:val="both"/>
        <w:rPr>
          <w:rFonts w:asciiTheme="minorHAnsi" w:eastAsia="Times New Roman" w:hAnsiTheme="minorHAnsi" w:cs="Times New Roman"/>
          <w:lang w:eastAsia="en-US"/>
        </w:rPr>
      </w:pPr>
    </w:p>
    <w:p w14:paraId="4D750E86" w14:textId="77777777" w:rsidR="00D45051" w:rsidRDefault="00D45051" w:rsidP="00A86471">
      <w:pPr>
        <w:spacing w:before="120" w:after="120"/>
        <w:jc w:val="both"/>
        <w:rPr>
          <w:rFonts w:asciiTheme="minorHAnsi" w:eastAsia="Times New Roman" w:hAnsiTheme="minorHAnsi" w:cs="Times New Roman"/>
          <w:lang w:eastAsia="en-US"/>
        </w:rPr>
      </w:pPr>
      <w:r>
        <w:rPr>
          <w:rFonts w:asciiTheme="minorHAnsi" w:eastAsia="Times New Roman" w:hAnsiTheme="minorHAnsi" w:cs="Times New Roman"/>
          <w:lang w:eastAsia="en-US"/>
        </w:rPr>
        <w:t xml:space="preserve">In </w:t>
      </w:r>
      <w:r w:rsidR="004F514E">
        <w:rPr>
          <w:rFonts w:asciiTheme="minorHAnsi" w:eastAsia="Times New Roman" w:hAnsiTheme="minorHAnsi" w:cs="Times New Roman"/>
          <w:lang w:eastAsia="en-US"/>
        </w:rPr>
        <w:t>summary</w:t>
      </w:r>
      <w:r>
        <w:rPr>
          <w:rFonts w:asciiTheme="minorHAnsi" w:eastAsia="Times New Roman" w:hAnsiTheme="minorHAnsi" w:cs="Times New Roman"/>
          <w:lang w:eastAsia="en-US"/>
        </w:rPr>
        <w:t>:</w:t>
      </w:r>
    </w:p>
    <w:p w14:paraId="1EBB08A4" w14:textId="77777777" w:rsidR="00741179" w:rsidRPr="00D45051" w:rsidRDefault="00D45051" w:rsidP="007237D1">
      <w:pPr>
        <w:pStyle w:val="ListParagraph"/>
        <w:numPr>
          <w:ilvl w:val="0"/>
          <w:numId w:val="37"/>
        </w:numPr>
        <w:spacing w:after="120"/>
        <w:contextualSpacing w:val="0"/>
        <w:jc w:val="both"/>
        <w:rPr>
          <w:rFonts w:asciiTheme="minorHAnsi" w:eastAsia="Times New Roman" w:hAnsiTheme="minorHAnsi" w:cs="Times New Roman"/>
          <w:lang w:eastAsia="en-US"/>
        </w:rPr>
      </w:pPr>
      <w:r w:rsidRPr="00D45051">
        <w:rPr>
          <w:rFonts w:asciiTheme="minorHAnsi" w:eastAsia="Times New Roman" w:hAnsiTheme="minorHAnsi" w:cs="Times New Roman"/>
          <w:lang w:eastAsia="en-US"/>
        </w:rPr>
        <w:t xml:space="preserve">The three EGNOS-based alternatives entail a reduction in CAPEX from 5% to almost 17% with regard to the CAPEX of the reference scenario. </w:t>
      </w:r>
    </w:p>
    <w:p w14:paraId="08474CE1" w14:textId="77777777" w:rsidR="00D45051" w:rsidRPr="00D45051" w:rsidRDefault="00D45051" w:rsidP="007237D1">
      <w:pPr>
        <w:pStyle w:val="ListParagraph"/>
        <w:numPr>
          <w:ilvl w:val="0"/>
          <w:numId w:val="37"/>
        </w:numPr>
        <w:spacing w:after="120"/>
        <w:contextualSpacing w:val="0"/>
        <w:jc w:val="both"/>
        <w:rPr>
          <w:rFonts w:asciiTheme="minorHAnsi" w:eastAsia="Times New Roman" w:hAnsiTheme="minorHAnsi" w:cs="Times New Roman"/>
          <w:lang w:eastAsia="en-US"/>
        </w:rPr>
      </w:pPr>
      <w:r w:rsidRPr="00D45051">
        <w:rPr>
          <w:rFonts w:asciiTheme="minorHAnsi" w:eastAsia="Times New Roman" w:hAnsiTheme="minorHAnsi" w:cs="Times New Roman"/>
          <w:lang w:eastAsia="en-US"/>
        </w:rPr>
        <w:t xml:space="preserve">The three EGNOS-based alternatives entail a yearly reduction in OPEX from 5% to almost 16% with regard to the </w:t>
      </w:r>
      <w:r w:rsidR="00296FBA">
        <w:rPr>
          <w:rFonts w:asciiTheme="minorHAnsi" w:eastAsia="Times New Roman" w:hAnsiTheme="minorHAnsi" w:cs="Times New Roman"/>
          <w:lang w:eastAsia="en-US"/>
        </w:rPr>
        <w:t>OPEX</w:t>
      </w:r>
      <w:r w:rsidRPr="00D45051">
        <w:rPr>
          <w:rFonts w:asciiTheme="minorHAnsi" w:eastAsia="Times New Roman" w:hAnsiTheme="minorHAnsi" w:cs="Times New Roman"/>
          <w:lang w:eastAsia="en-US"/>
        </w:rPr>
        <w:t xml:space="preserve"> of the reference scenario</w:t>
      </w:r>
      <w:r w:rsidR="00296FBA">
        <w:rPr>
          <w:rFonts w:asciiTheme="minorHAnsi" w:eastAsia="Times New Roman" w:hAnsiTheme="minorHAnsi" w:cs="Times New Roman"/>
          <w:lang w:eastAsia="en-US"/>
        </w:rPr>
        <w:t xml:space="preserve"> </w:t>
      </w:r>
      <w:r w:rsidR="00296FBA" w:rsidRPr="007237D1">
        <w:rPr>
          <w:rFonts w:asciiTheme="minorHAnsi" w:eastAsia="Times New Roman" w:hAnsiTheme="minorHAnsi" w:cs="Times New Roman"/>
          <w:lang w:eastAsia="en-US"/>
        </w:rPr>
        <w:t>(there is no difference with regard to the “infrastructure</w:t>
      </w:r>
      <w:r w:rsidR="00296FBA">
        <w:rPr>
          <w:rFonts w:asciiTheme="minorHAnsi" w:eastAsia="Times New Roman" w:hAnsiTheme="minorHAnsi" w:cs="Times New Roman"/>
          <w:lang w:eastAsia="en-US"/>
        </w:rPr>
        <w:t xml:space="preserve"> upgrade</w:t>
      </w:r>
      <w:r w:rsidR="00296FBA" w:rsidRPr="007237D1">
        <w:rPr>
          <w:rFonts w:asciiTheme="minorHAnsi" w:eastAsia="Times New Roman" w:hAnsiTheme="minorHAnsi" w:cs="Times New Roman"/>
          <w:lang w:eastAsia="en-US"/>
        </w:rPr>
        <w:t>” case)</w:t>
      </w:r>
      <w:r w:rsidRPr="00D45051">
        <w:rPr>
          <w:rFonts w:asciiTheme="minorHAnsi" w:eastAsia="Times New Roman" w:hAnsiTheme="minorHAnsi" w:cs="Times New Roman"/>
          <w:lang w:eastAsia="en-US"/>
        </w:rPr>
        <w:t>.</w:t>
      </w:r>
    </w:p>
    <w:p w14:paraId="325D0A4A" w14:textId="77777777" w:rsidR="0018233F" w:rsidRPr="001305FB" w:rsidRDefault="0018233F" w:rsidP="007237D1">
      <w:pPr>
        <w:pStyle w:val="ListParagraph"/>
        <w:numPr>
          <w:ilvl w:val="0"/>
          <w:numId w:val="36"/>
        </w:numPr>
        <w:spacing w:after="120"/>
        <w:ind w:left="714" w:hanging="357"/>
        <w:contextualSpacing w:val="0"/>
        <w:jc w:val="both"/>
        <w:rPr>
          <w:rFonts w:asciiTheme="minorHAnsi" w:eastAsia="Times New Roman" w:hAnsiTheme="minorHAnsi" w:cs="Times New Roman"/>
          <w:lang w:eastAsia="en-US"/>
        </w:rPr>
      </w:pPr>
      <w:r w:rsidRPr="001305FB">
        <w:rPr>
          <w:rFonts w:asciiTheme="minorHAnsi" w:eastAsia="Times New Roman" w:hAnsiTheme="minorHAnsi" w:cs="Times New Roman"/>
          <w:lang w:eastAsia="en-US"/>
        </w:rPr>
        <w:t xml:space="preserve">Accrued savings after 5 years of operation are 2,75 times </w:t>
      </w:r>
      <w:r w:rsidR="001305FB" w:rsidRPr="001305FB">
        <w:rPr>
          <w:rFonts w:asciiTheme="minorHAnsi" w:eastAsia="Times New Roman" w:hAnsiTheme="minorHAnsi" w:cs="Times New Roman"/>
          <w:lang w:eastAsia="en-US"/>
        </w:rPr>
        <w:t>higher</w:t>
      </w:r>
      <w:r w:rsidRPr="001305FB">
        <w:rPr>
          <w:rFonts w:asciiTheme="minorHAnsi" w:eastAsia="Times New Roman" w:hAnsiTheme="minorHAnsi" w:cs="Times New Roman"/>
          <w:lang w:eastAsia="en-US"/>
        </w:rPr>
        <w:t xml:space="preserve"> in the “Hybrid Centralised” </w:t>
      </w:r>
      <w:r w:rsidR="001305FB">
        <w:rPr>
          <w:rFonts w:asciiTheme="minorHAnsi" w:eastAsia="Times New Roman" w:hAnsiTheme="minorHAnsi" w:cs="Times New Roman"/>
          <w:lang w:eastAsia="en-US"/>
        </w:rPr>
        <w:t>than in</w:t>
      </w:r>
      <w:r w:rsidRPr="001305FB">
        <w:rPr>
          <w:rFonts w:asciiTheme="minorHAnsi" w:eastAsia="Times New Roman" w:hAnsiTheme="minorHAnsi" w:cs="Times New Roman"/>
          <w:lang w:eastAsia="en-US"/>
        </w:rPr>
        <w:t xml:space="preserve"> the “Hybrid Decentralised”. </w:t>
      </w:r>
    </w:p>
    <w:p w14:paraId="3660755A" w14:textId="77777777" w:rsidR="0018233F" w:rsidRDefault="0018233F" w:rsidP="007237D1">
      <w:pPr>
        <w:pStyle w:val="ListParagraph"/>
        <w:numPr>
          <w:ilvl w:val="0"/>
          <w:numId w:val="36"/>
        </w:numPr>
        <w:spacing w:after="120"/>
        <w:ind w:left="714" w:hanging="357"/>
        <w:contextualSpacing w:val="0"/>
        <w:jc w:val="both"/>
        <w:rPr>
          <w:rFonts w:asciiTheme="minorHAnsi" w:eastAsia="Times New Roman" w:hAnsiTheme="minorHAnsi" w:cs="Times New Roman"/>
          <w:lang w:eastAsia="en-US"/>
        </w:rPr>
      </w:pPr>
      <w:r w:rsidRPr="001305FB">
        <w:rPr>
          <w:rFonts w:asciiTheme="minorHAnsi" w:eastAsia="Times New Roman" w:hAnsiTheme="minorHAnsi" w:cs="Times New Roman"/>
          <w:lang w:eastAsia="en-US"/>
        </w:rPr>
        <w:t xml:space="preserve">Accrued savings after 5 years of operation are 3,14 times </w:t>
      </w:r>
      <w:r w:rsidR="001305FB" w:rsidRPr="001305FB">
        <w:rPr>
          <w:rFonts w:asciiTheme="minorHAnsi" w:eastAsia="Times New Roman" w:hAnsiTheme="minorHAnsi" w:cs="Times New Roman"/>
          <w:lang w:eastAsia="en-US"/>
        </w:rPr>
        <w:t>higher</w:t>
      </w:r>
      <w:r w:rsidRPr="001305FB">
        <w:rPr>
          <w:rFonts w:asciiTheme="minorHAnsi" w:eastAsia="Times New Roman" w:hAnsiTheme="minorHAnsi" w:cs="Times New Roman"/>
          <w:lang w:eastAsia="en-US"/>
        </w:rPr>
        <w:t xml:space="preserve"> in the “Redundant fully EGNOS” </w:t>
      </w:r>
      <w:r w:rsidR="001305FB">
        <w:rPr>
          <w:rFonts w:asciiTheme="minorHAnsi" w:eastAsia="Times New Roman" w:hAnsiTheme="minorHAnsi" w:cs="Times New Roman"/>
          <w:lang w:eastAsia="en-US"/>
        </w:rPr>
        <w:t>than in</w:t>
      </w:r>
      <w:r w:rsidRPr="001305FB">
        <w:rPr>
          <w:rFonts w:asciiTheme="minorHAnsi" w:eastAsia="Times New Roman" w:hAnsiTheme="minorHAnsi" w:cs="Times New Roman"/>
          <w:lang w:eastAsia="en-US"/>
        </w:rPr>
        <w:t xml:space="preserve"> the “Hybrid Decentralised”. </w:t>
      </w:r>
    </w:p>
    <w:p w14:paraId="2D82C793" w14:textId="77777777" w:rsidR="007237D1" w:rsidRPr="007237D1" w:rsidRDefault="007237D1" w:rsidP="007237D1">
      <w:pPr>
        <w:spacing w:after="120"/>
        <w:jc w:val="both"/>
        <w:rPr>
          <w:rFonts w:asciiTheme="minorHAnsi" w:eastAsia="Times New Roman" w:hAnsiTheme="minorHAnsi" w:cs="Times New Roman"/>
          <w:lang w:eastAsia="en-US"/>
        </w:rPr>
      </w:pPr>
      <w:r w:rsidRPr="00741179">
        <w:rPr>
          <w:rFonts w:asciiTheme="minorHAnsi" w:eastAsia="Times New Roman" w:hAnsiTheme="minorHAnsi" w:cs="Times New Roman"/>
          <w:lang w:eastAsia="en-US"/>
        </w:rPr>
        <w:t>Taking as example the deployment based on 10 stations, this analysis concludes that the “</w:t>
      </w:r>
      <w:r w:rsidRPr="008573CE">
        <w:rPr>
          <w:rFonts w:asciiTheme="minorHAnsi" w:eastAsia="Times New Roman" w:hAnsiTheme="minorHAnsi" w:cs="Times New Roman"/>
          <w:lang w:eastAsia="en-US"/>
        </w:rPr>
        <w:t>Redundant fully EGNOS</w:t>
      </w:r>
      <w:r w:rsidRPr="00741179">
        <w:rPr>
          <w:rFonts w:asciiTheme="minorHAnsi" w:eastAsia="Times New Roman" w:hAnsiTheme="minorHAnsi" w:cs="Times New Roman"/>
          <w:lang w:eastAsia="en-US"/>
        </w:rPr>
        <w:t>” alternative is the most cost-effective if compared with the deployment of the reference scenario, both of them built from scratch.</w:t>
      </w:r>
    </w:p>
    <w:p w14:paraId="0D2F2FFE" w14:textId="1A06C7C2" w:rsidR="00D4202A" w:rsidRPr="00D4202A" w:rsidRDefault="00FE4FAD" w:rsidP="00FE4FAD">
      <w:pPr>
        <w:tabs>
          <w:tab w:val="left" w:pos="3790"/>
        </w:tabs>
        <w:spacing w:after="120"/>
        <w:jc w:val="both"/>
        <w:rPr>
          <w:rFonts w:asciiTheme="minorHAnsi" w:eastAsia="Times New Roman" w:hAnsiTheme="minorHAnsi" w:cs="Times New Roman"/>
          <w:lang w:eastAsia="en-US"/>
        </w:rPr>
      </w:pPr>
      <w:r>
        <w:rPr>
          <w:rFonts w:asciiTheme="minorHAnsi" w:eastAsia="Times New Roman" w:hAnsiTheme="minorHAnsi" w:cs="Times New Roman"/>
          <w:lang w:eastAsia="en-US"/>
        </w:rPr>
        <w:tab/>
      </w:r>
    </w:p>
    <w:p w14:paraId="6650D1BA" w14:textId="77777777" w:rsidR="0023428A" w:rsidRPr="0023428A" w:rsidRDefault="0023428A" w:rsidP="0023428A">
      <w:pPr>
        <w:pStyle w:val="AnnexHeading1"/>
      </w:pPr>
      <w:r w:rsidRPr="0023428A">
        <w:t>EGNOS OVER AIS: Generic Cost Assessment</w:t>
      </w:r>
    </w:p>
    <w:p w14:paraId="458ABE16" w14:textId="77777777" w:rsidR="007E1164" w:rsidRDefault="007E1164" w:rsidP="00D2242B">
      <w:pPr>
        <w:pStyle w:val="BodyText"/>
        <w:rPr>
          <w:lang w:val="en-US"/>
        </w:rPr>
      </w:pPr>
      <w:r w:rsidRPr="007E1164">
        <w:rPr>
          <w:lang w:val="en-US"/>
        </w:rPr>
        <w:t xml:space="preserve">The EGNOS-based alternatives follow the high level architectures described in </w:t>
      </w:r>
      <w:r>
        <w:rPr>
          <w:lang w:val="en-US"/>
        </w:rPr>
        <w:fldChar w:fldCharType="begin"/>
      </w:r>
      <w:r>
        <w:rPr>
          <w:lang w:val="en-US"/>
        </w:rPr>
        <w:instrText xml:space="preserve"> REF _Ref475008615 \r \h </w:instrText>
      </w:r>
      <w:r>
        <w:rPr>
          <w:lang w:val="en-US"/>
        </w:rPr>
      </w:r>
      <w:r>
        <w:rPr>
          <w:lang w:val="en-US"/>
        </w:rPr>
        <w:fldChar w:fldCharType="separate"/>
      </w:r>
      <w:r>
        <w:rPr>
          <w:lang w:val="en-US"/>
        </w:rPr>
        <w:t>[1]</w:t>
      </w:r>
      <w:r>
        <w:rPr>
          <w:lang w:val="en-US"/>
        </w:rPr>
        <w:fldChar w:fldCharType="end"/>
      </w:r>
      <w:r>
        <w:rPr>
          <w:lang w:val="en-US"/>
        </w:rPr>
        <w:t xml:space="preserve"> in two</w:t>
      </w:r>
      <w:r w:rsidRPr="007E1164">
        <w:rPr>
          <w:lang w:val="en-US"/>
        </w:rPr>
        <w:t xml:space="preserve"> different situations:</w:t>
      </w:r>
    </w:p>
    <w:p w14:paraId="76AB32F2" w14:textId="77777777" w:rsidR="007E1164" w:rsidRPr="007E1164" w:rsidRDefault="005576EB" w:rsidP="007237D1">
      <w:pPr>
        <w:pStyle w:val="BodyText"/>
        <w:numPr>
          <w:ilvl w:val="0"/>
          <w:numId w:val="31"/>
        </w:numPr>
      </w:pPr>
      <w:r>
        <w:t>AIS #</w:t>
      </w:r>
      <w:r w:rsidR="007E1164">
        <w:t>1</w:t>
      </w:r>
      <w:r w:rsidR="00BF0869">
        <w:t xml:space="preserve"> – Infrastructure upgrade</w:t>
      </w:r>
      <w:r w:rsidR="007E1164" w:rsidRPr="007E1164">
        <w:t xml:space="preserve">: </w:t>
      </w:r>
    </w:p>
    <w:p w14:paraId="20CE6FC4" w14:textId="77777777" w:rsidR="007E1164" w:rsidRPr="007E1164" w:rsidRDefault="007E1164" w:rsidP="007237D1">
      <w:pPr>
        <w:pStyle w:val="BodyText"/>
        <w:numPr>
          <w:ilvl w:val="1"/>
          <w:numId w:val="31"/>
        </w:numPr>
      </w:pPr>
      <w:r w:rsidRPr="007E1164">
        <w:t xml:space="preserve">The reference scenario is an AIS network (implementing MT17) associated to an existing IALA DGNSS deployment. Corrections from the IALA DGNSS stations are used to feed the AIS Base Stations. </w:t>
      </w:r>
      <w:r>
        <w:t>A</w:t>
      </w:r>
      <w:r w:rsidRPr="007E1164">
        <w:t>s an assumption, one IALA beacon feeds five AIS Base Stations</w:t>
      </w:r>
      <w:r w:rsidRPr="007E1164">
        <w:rPr>
          <w:rStyle w:val="FootnoteReference"/>
          <w:vertAlign w:val="superscript"/>
        </w:rPr>
        <w:footnoteReference w:id="5"/>
      </w:r>
      <w:r w:rsidRPr="007E1164">
        <w:t>. Costs of the reference scenario include the AIS network and also the IALA DGNSS infrastructure.</w:t>
      </w:r>
    </w:p>
    <w:p w14:paraId="2AA283CD" w14:textId="77777777" w:rsidR="007E1164" w:rsidRPr="007E1164" w:rsidRDefault="007E1164" w:rsidP="007237D1">
      <w:pPr>
        <w:pStyle w:val="BodyText"/>
        <w:numPr>
          <w:ilvl w:val="1"/>
          <w:numId w:val="31"/>
        </w:numPr>
      </w:pPr>
      <w:r w:rsidRPr="007E1164">
        <w:t>The alternate scenarios analysed are decentralised (EGNOS SIS and EDAS) and centralised (EGNOS SIS and EDAS) assuming that the modifications are implemented in the IALA beacons.</w:t>
      </w:r>
    </w:p>
    <w:p w14:paraId="37A721E5" w14:textId="77777777" w:rsidR="007E1164" w:rsidRPr="007E1164" w:rsidRDefault="007E1164" w:rsidP="007237D1">
      <w:pPr>
        <w:pStyle w:val="BodyText"/>
        <w:numPr>
          <w:ilvl w:val="0"/>
          <w:numId w:val="31"/>
        </w:numPr>
      </w:pPr>
      <w:r>
        <w:t xml:space="preserve">AIS </w:t>
      </w:r>
      <w:r w:rsidR="005576EB">
        <w:t>#</w:t>
      </w:r>
      <w:r>
        <w:t>2</w:t>
      </w:r>
      <w:r w:rsidR="00BF0869">
        <w:t xml:space="preserve"> – New infrastructure</w:t>
      </w:r>
      <w:r w:rsidRPr="007E1164">
        <w:t xml:space="preserve">: </w:t>
      </w:r>
    </w:p>
    <w:p w14:paraId="21CC208A" w14:textId="77777777" w:rsidR="007E1164" w:rsidRPr="007E1164" w:rsidRDefault="007E1164" w:rsidP="007237D1">
      <w:pPr>
        <w:pStyle w:val="BodyText"/>
        <w:numPr>
          <w:ilvl w:val="1"/>
          <w:numId w:val="31"/>
        </w:numPr>
      </w:pPr>
      <w:r w:rsidRPr="007E1164">
        <w:t xml:space="preserve">The reference scenario is an AIS network (implementing MT17) associated to an IALA DGNSS infrastructure (to be deployed). Corrections from the IALA DGNSS stations are used to feed the AIS Base Stations. One IALA beacon feeds five AIS Base Stations. </w:t>
      </w:r>
    </w:p>
    <w:p w14:paraId="2F091983" w14:textId="77777777" w:rsidR="00F9727E" w:rsidRDefault="007E1164" w:rsidP="007237D1">
      <w:pPr>
        <w:pStyle w:val="BodyText"/>
        <w:numPr>
          <w:ilvl w:val="1"/>
          <w:numId w:val="31"/>
        </w:numPr>
      </w:pPr>
      <w:r w:rsidRPr="007E1164">
        <w:t>The alternate scenario analysed is centralised (EGNOS SIS and EDAS) assuming that there is no IALA DGNSS infrastructure, hence a centralised computation of corrections is performed in the Central Segment.</w:t>
      </w:r>
    </w:p>
    <w:p w14:paraId="0B248618" w14:textId="77777777" w:rsidR="005938B5" w:rsidRPr="00F9727E" w:rsidRDefault="005938B5" w:rsidP="005938B5">
      <w:pPr>
        <w:pStyle w:val="BodyText"/>
        <w:ind w:left="1440"/>
      </w:pPr>
    </w:p>
    <w:p w14:paraId="1338EF7C" w14:textId="77777777" w:rsidR="0023428A" w:rsidRDefault="0023428A" w:rsidP="00C348D0">
      <w:pPr>
        <w:pStyle w:val="AnnexHeading1"/>
        <w:numPr>
          <w:ilvl w:val="1"/>
          <w:numId w:val="16"/>
        </w:numPr>
      </w:pPr>
      <w:r>
        <w:t>Reference scenario: baseline</w:t>
      </w:r>
      <w:r w:rsidRPr="00CC0473">
        <w:t xml:space="preserve"> </w:t>
      </w:r>
      <w:r>
        <w:t>AIS</w:t>
      </w:r>
      <w:r w:rsidRPr="00CC0473">
        <w:t xml:space="preserve"> </w:t>
      </w:r>
      <w:r>
        <w:t>infrastructure</w:t>
      </w:r>
    </w:p>
    <w:p w14:paraId="0A481455" w14:textId="77777777" w:rsidR="001E6BF6" w:rsidRPr="00F9727E" w:rsidRDefault="001E6BF6" w:rsidP="00BF0869">
      <w:pPr>
        <w:pStyle w:val="BodyText"/>
        <w:spacing w:before="120"/>
      </w:pPr>
      <w:r w:rsidRPr="00F9727E">
        <w:rPr>
          <w:b/>
        </w:rPr>
        <w:t>Assumptions</w:t>
      </w:r>
      <w:r w:rsidRPr="001E6BF6">
        <w:rPr>
          <w:b/>
        </w:rPr>
        <w:t>:</w:t>
      </w:r>
      <w:r w:rsidRPr="00F9727E">
        <w:t xml:space="preserve"> </w:t>
      </w:r>
    </w:p>
    <w:p w14:paraId="0A40C1C5" w14:textId="77777777" w:rsidR="001E6BF6" w:rsidRPr="00F9727E" w:rsidRDefault="001E6BF6" w:rsidP="007237D1">
      <w:pPr>
        <w:pStyle w:val="BodyText"/>
        <w:numPr>
          <w:ilvl w:val="0"/>
          <w:numId w:val="32"/>
        </w:numPr>
      </w:pPr>
      <w:r w:rsidRPr="00F9727E">
        <w:t>The reference scenario is an AIS network (maritime or inland) with computation of DGPS corrections, hence message 17 is implemented.</w:t>
      </w:r>
    </w:p>
    <w:p w14:paraId="71566194" w14:textId="77777777" w:rsidR="001E6BF6" w:rsidRPr="00F9727E" w:rsidRDefault="001E6BF6" w:rsidP="007237D1">
      <w:pPr>
        <w:pStyle w:val="BodyText"/>
        <w:numPr>
          <w:ilvl w:val="0"/>
          <w:numId w:val="32"/>
        </w:numPr>
      </w:pPr>
      <w:r w:rsidRPr="00F9727E">
        <w:t>It is assumed that the AIS Base Stations are ready to receive DGNSS corrections provided as input via a dedicated port.</w:t>
      </w:r>
    </w:p>
    <w:p w14:paraId="19EA61C1" w14:textId="77777777" w:rsidR="001E6BF6" w:rsidRDefault="001E6BF6" w:rsidP="007237D1">
      <w:pPr>
        <w:pStyle w:val="BodyText"/>
        <w:numPr>
          <w:ilvl w:val="0"/>
          <w:numId w:val="32"/>
        </w:numPr>
      </w:pPr>
      <w:r w:rsidRPr="00F9727E">
        <w:lastRenderedPageBreak/>
        <w:t xml:space="preserve">An external RS (with its corresponding IM) is in place and could be used to provide DGNSS corrections to the AIS Base Stations. It is not necessary to do any change on the AIS Base Station to obtain an EGNOS-based alternative but only on the external reference station (RS). (See </w:t>
      </w:r>
      <w:r>
        <w:t>ENAV19-13.13 ref.</w:t>
      </w:r>
      <w:r>
        <w:fldChar w:fldCharType="begin"/>
      </w:r>
      <w:r>
        <w:instrText xml:space="preserve"> REF _Ref475008615 \r \h </w:instrText>
      </w:r>
      <w:r>
        <w:fldChar w:fldCharType="separate"/>
      </w:r>
      <w:r>
        <w:t>[1]</w:t>
      </w:r>
      <w:r>
        <w:fldChar w:fldCharType="end"/>
      </w:r>
      <w:r w:rsidRPr="00F9727E">
        <w:t>).</w:t>
      </w:r>
    </w:p>
    <w:p w14:paraId="4FB4EDAC" w14:textId="77777777" w:rsidR="00817598" w:rsidRPr="00F9727E" w:rsidRDefault="00817598" w:rsidP="00817598">
      <w:pPr>
        <w:pStyle w:val="BodyText"/>
      </w:pPr>
    </w:p>
    <w:p w14:paraId="6B0EC10A" w14:textId="77777777" w:rsidR="00EF0E38" w:rsidRPr="00EF0E38" w:rsidRDefault="00EF0E38" w:rsidP="00C348D0">
      <w:pPr>
        <w:pStyle w:val="AnnexHeading1"/>
        <w:numPr>
          <w:ilvl w:val="1"/>
          <w:numId w:val="16"/>
        </w:numPr>
        <w:rPr>
          <w:lang w:val="en-US"/>
        </w:rPr>
      </w:pPr>
      <w:r>
        <w:rPr>
          <w:lang w:val="en-US"/>
        </w:rPr>
        <w:t>Alternate scenarios:</w:t>
      </w:r>
      <w:r w:rsidRPr="00F65B16">
        <w:rPr>
          <w:lang w:val="en-US"/>
        </w:rPr>
        <w:t xml:space="preserve"> Cost analysis of the EGNOS over </w:t>
      </w:r>
      <w:r>
        <w:rPr>
          <w:lang w:val="en-US"/>
        </w:rPr>
        <w:t>AIS</w:t>
      </w:r>
      <w:r w:rsidRPr="00F65B16">
        <w:rPr>
          <w:lang w:val="en-US"/>
        </w:rPr>
        <w:t xml:space="preserve"> options</w:t>
      </w:r>
    </w:p>
    <w:p w14:paraId="30108981" w14:textId="77777777" w:rsidR="001E6BF6" w:rsidRPr="001E6BF6" w:rsidRDefault="001E6BF6" w:rsidP="00BF0869">
      <w:pPr>
        <w:pStyle w:val="BodyText"/>
        <w:spacing w:before="120"/>
        <w:rPr>
          <w:b/>
        </w:rPr>
      </w:pPr>
      <w:r w:rsidRPr="001E6BF6">
        <w:rPr>
          <w:b/>
        </w:rPr>
        <w:t>Assumptions:</w:t>
      </w:r>
    </w:p>
    <w:p w14:paraId="0577F0DC" w14:textId="77777777" w:rsidR="001E6BF6" w:rsidRPr="001E6BF6" w:rsidRDefault="001E6BF6" w:rsidP="007237D1">
      <w:pPr>
        <w:pStyle w:val="BodyText"/>
        <w:numPr>
          <w:ilvl w:val="0"/>
          <w:numId w:val="33"/>
        </w:numPr>
      </w:pPr>
      <w:r w:rsidRPr="001E6BF6">
        <w:t>In the decentralised options, the EGNOS-based alternatives imply the modification of the DGNSS station which feeds the AIS base station and this AIS base station remains unchanged.</w:t>
      </w:r>
    </w:p>
    <w:p w14:paraId="655FD6FA" w14:textId="77777777" w:rsidR="001E6BF6" w:rsidRPr="001E6BF6" w:rsidRDefault="001E6BF6" w:rsidP="007237D1">
      <w:pPr>
        <w:pStyle w:val="BodyText"/>
        <w:numPr>
          <w:ilvl w:val="0"/>
          <w:numId w:val="33"/>
        </w:numPr>
      </w:pPr>
      <w:r w:rsidRPr="001E6BF6">
        <w:t>In the centralised options, the EGNOS-based alternatives imply the modification of the Central Segment in order to include the Processing Facility to generate the DGNSS corrections. AIS base stations remain unchanged.</w:t>
      </w:r>
    </w:p>
    <w:p w14:paraId="28C7115C" w14:textId="77777777" w:rsidR="004A5530" w:rsidRDefault="00FF1AC6" w:rsidP="00C348D0">
      <w:pPr>
        <w:pStyle w:val="AnnexHeading1"/>
        <w:keepNext/>
        <w:numPr>
          <w:ilvl w:val="2"/>
          <w:numId w:val="16"/>
        </w:numPr>
      </w:pPr>
      <w:r w:rsidRPr="00CC0473">
        <w:t>Decentralised</w:t>
      </w:r>
      <w:r w:rsidRPr="00F85696">
        <w:t xml:space="preserve"> – EGNOS SIS</w:t>
      </w:r>
    </w:p>
    <w:p w14:paraId="77F1B668" w14:textId="77777777" w:rsidR="00FF1AC6" w:rsidRPr="00FF1AC6" w:rsidRDefault="00FF1AC6" w:rsidP="00FF1AC6">
      <w:pPr>
        <w:pStyle w:val="BodyText"/>
        <w:rPr>
          <w:lang w:val="en-US"/>
        </w:rPr>
      </w:pPr>
      <w:r>
        <w:rPr>
          <w:lang w:val="en-US"/>
        </w:rPr>
        <w:t>Qualitative c</w:t>
      </w:r>
      <w:r w:rsidRPr="00FF1AC6">
        <w:rPr>
          <w:lang w:val="en-US"/>
        </w:rPr>
        <w:t>osts analysis</w:t>
      </w:r>
      <w:r>
        <w:rPr>
          <w:lang w:val="en-US"/>
        </w:rPr>
        <w:t xml:space="preserve"> results</w:t>
      </w:r>
      <w:r w:rsidRPr="00FF1AC6">
        <w:rPr>
          <w:lang w:val="en-US"/>
        </w:rPr>
        <w:t>:</w:t>
      </w:r>
    </w:p>
    <w:p w14:paraId="0EEFB8A2" w14:textId="77777777" w:rsidR="00FF1AC6" w:rsidRDefault="00FF1AC6" w:rsidP="007237D1">
      <w:pPr>
        <w:pStyle w:val="BodyText"/>
        <w:numPr>
          <w:ilvl w:val="0"/>
          <w:numId w:val="34"/>
        </w:numPr>
      </w:pPr>
      <w:r w:rsidRPr="00FF1AC6">
        <w:t xml:space="preserve">CAPEX and OPEX in the reference scenario include not only the AIS network related costs but also the DGNSS reference stations costs which are needed to provide the corrections. </w:t>
      </w:r>
    </w:p>
    <w:p w14:paraId="1D8AD447" w14:textId="77777777" w:rsidR="00FF1AC6" w:rsidRDefault="00FF1AC6" w:rsidP="007237D1">
      <w:pPr>
        <w:pStyle w:val="BodyText"/>
        <w:numPr>
          <w:ilvl w:val="0"/>
          <w:numId w:val="34"/>
        </w:numPr>
      </w:pPr>
      <w:r w:rsidRPr="00FF1AC6">
        <w:rPr>
          <w:lang w:val="en-US"/>
        </w:rPr>
        <w:t xml:space="preserve">CAPEX in a completely new infrastructure based on EGNOS is lower compared to CAPEX in the reference scenario. </w:t>
      </w:r>
    </w:p>
    <w:p w14:paraId="71FE6ED3" w14:textId="77777777" w:rsidR="00FF1AC6" w:rsidRPr="00A42A8B" w:rsidRDefault="00FF1AC6" w:rsidP="007237D1">
      <w:pPr>
        <w:pStyle w:val="BodyText"/>
        <w:numPr>
          <w:ilvl w:val="0"/>
          <w:numId w:val="34"/>
        </w:numPr>
      </w:pPr>
      <w:r w:rsidRPr="00FF1AC6">
        <w:rPr>
          <w:lang w:val="en-US"/>
        </w:rPr>
        <w:t>OPEX decreases in the EGNOS-based option, however this decrease does not allow to recover the required investment.</w:t>
      </w:r>
    </w:p>
    <w:p w14:paraId="48EE75FC" w14:textId="77777777" w:rsidR="00FF1AC6" w:rsidRDefault="00FF1AC6" w:rsidP="00C348D0">
      <w:pPr>
        <w:pStyle w:val="AnnexHeading1"/>
        <w:keepNext/>
        <w:numPr>
          <w:ilvl w:val="2"/>
          <w:numId w:val="16"/>
        </w:numPr>
      </w:pPr>
      <w:r w:rsidRPr="00CC0473">
        <w:t>Decentralised</w:t>
      </w:r>
      <w:r w:rsidRPr="006925B0">
        <w:t xml:space="preserve"> –</w:t>
      </w:r>
      <w:r>
        <w:t xml:space="preserve"> </w:t>
      </w:r>
      <w:r w:rsidRPr="006925B0">
        <w:t>EDAS</w:t>
      </w:r>
    </w:p>
    <w:p w14:paraId="7F311C96" w14:textId="77777777" w:rsidR="00C348D0" w:rsidRDefault="00C348D0" w:rsidP="00D2242B">
      <w:pPr>
        <w:pStyle w:val="BodyText"/>
        <w:rPr>
          <w:lang w:val="en-US"/>
        </w:rPr>
      </w:pPr>
      <w:r>
        <w:rPr>
          <w:lang w:val="en-US"/>
        </w:rPr>
        <w:t>Qualitative costs analysis results:</w:t>
      </w:r>
    </w:p>
    <w:p w14:paraId="1A2290BE" w14:textId="77777777" w:rsidR="00C348D0" w:rsidRDefault="00C348D0" w:rsidP="007237D1">
      <w:pPr>
        <w:pStyle w:val="BodyText"/>
        <w:numPr>
          <w:ilvl w:val="0"/>
          <w:numId w:val="34"/>
        </w:numPr>
      </w:pPr>
      <w:r w:rsidRPr="00C348D0">
        <w:t>CAPEX and OPEX in the reference scenario include not only the AIS network related costs but also the DGNSS reference stations costs which are needed to provide the corrections.</w:t>
      </w:r>
    </w:p>
    <w:p w14:paraId="3B179261" w14:textId="77777777" w:rsidR="00C348D0" w:rsidRDefault="00C348D0" w:rsidP="007237D1">
      <w:pPr>
        <w:pStyle w:val="BodyText"/>
        <w:numPr>
          <w:ilvl w:val="0"/>
          <w:numId w:val="34"/>
        </w:numPr>
      </w:pPr>
      <w:r w:rsidRPr="00C348D0">
        <w:rPr>
          <w:lang w:val="en-US"/>
        </w:rPr>
        <w:t xml:space="preserve">CAPEX in a completely new infrastructure based on EGNOS is lower compared to CAPEX in the reference scenario. </w:t>
      </w:r>
    </w:p>
    <w:p w14:paraId="12576669" w14:textId="77777777" w:rsidR="00C348D0" w:rsidRPr="00A42A8B" w:rsidRDefault="00C348D0" w:rsidP="007237D1">
      <w:pPr>
        <w:pStyle w:val="BodyText"/>
        <w:numPr>
          <w:ilvl w:val="0"/>
          <w:numId w:val="34"/>
        </w:numPr>
      </w:pPr>
      <w:r w:rsidRPr="00C348D0">
        <w:rPr>
          <w:lang w:val="en-US"/>
        </w:rPr>
        <w:t>Despite of removing some elements on site, which entails a reduction in the maintenance costs, OPEX increases in the EGNOS-based option due to the upgrade of the contract with the communications provider, since this is an architecture based on EDAS.</w:t>
      </w:r>
    </w:p>
    <w:p w14:paraId="3E009573" w14:textId="77777777" w:rsidR="00FF1AC6" w:rsidRDefault="00FF1AC6" w:rsidP="00C458D2">
      <w:pPr>
        <w:pStyle w:val="AnnexHeading1"/>
        <w:keepNext/>
        <w:numPr>
          <w:ilvl w:val="2"/>
          <w:numId w:val="16"/>
        </w:numPr>
      </w:pPr>
      <w:r>
        <w:t>C</w:t>
      </w:r>
      <w:r w:rsidRPr="00CC0473">
        <w:t>entralised</w:t>
      </w:r>
      <w:r w:rsidRPr="006925B0">
        <w:t xml:space="preserve"> – EGNOS </w:t>
      </w:r>
      <w:r>
        <w:t>SIS</w:t>
      </w:r>
    </w:p>
    <w:p w14:paraId="3772254F" w14:textId="77777777" w:rsidR="00C458D2" w:rsidRDefault="00C458D2" w:rsidP="00D2242B">
      <w:pPr>
        <w:pStyle w:val="BodyText"/>
      </w:pPr>
      <w:r>
        <w:t>Qualitative costs analysis results:</w:t>
      </w:r>
    </w:p>
    <w:p w14:paraId="310E1AF2" w14:textId="77777777" w:rsidR="00C458D2" w:rsidRDefault="00C458D2" w:rsidP="00D2242B">
      <w:pPr>
        <w:pStyle w:val="BodyText"/>
      </w:pPr>
      <w:r>
        <w:t xml:space="preserve">Situation </w:t>
      </w:r>
      <w:r w:rsidR="005576EB">
        <w:t>AIS #1</w:t>
      </w:r>
      <w:r w:rsidR="00212FC8">
        <w:t xml:space="preserve"> (Infrastructure upgrade)</w:t>
      </w:r>
      <w:r>
        <w:t>:</w:t>
      </w:r>
    </w:p>
    <w:p w14:paraId="052C8830" w14:textId="77777777" w:rsidR="00C458D2" w:rsidRPr="00C458D2" w:rsidRDefault="00C458D2" w:rsidP="007237D1">
      <w:pPr>
        <w:pStyle w:val="BodyText"/>
        <w:numPr>
          <w:ilvl w:val="0"/>
          <w:numId w:val="34"/>
        </w:numPr>
        <w:rPr>
          <w:lang w:val="en-US"/>
        </w:rPr>
      </w:pPr>
      <w:r w:rsidRPr="00C458D2">
        <w:rPr>
          <w:lang w:val="en-US"/>
        </w:rPr>
        <w:t xml:space="preserve">CAPEX in a completely new infrastructure based on EGNOS is lower compared to CAPEX in the reference scenario, except in the case that there are only one or two IALA DGNSS stations (a centralized architecture does not have sense in this situation). </w:t>
      </w:r>
    </w:p>
    <w:p w14:paraId="18715DDA" w14:textId="77777777" w:rsidR="00C458D2" w:rsidRPr="00C458D2" w:rsidRDefault="00C458D2" w:rsidP="007237D1">
      <w:pPr>
        <w:pStyle w:val="BodyText"/>
        <w:numPr>
          <w:ilvl w:val="0"/>
          <w:numId w:val="34"/>
        </w:numPr>
        <w:rPr>
          <w:lang w:val="en-US"/>
        </w:rPr>
      </w:pPr>
      <w:r w:rsidRPr="00C458D2">
        <w:rPr>
          <w:lang w:val="en-US"/>
        </w:rPr>
        <w:t>The removal of components in the IALA beacons entails a reduction in the maintenance costs, which balances out the OPEX increase due to the upgrade of the contract with the communications provider. This upgrade is needed since this is a centralized architecture.</w:t>
      </w:r>
    </w:p>
    <w:p w14:paraId="502A2174" w14:textId="77777777" w:rsidR="00C458D2" w:rsidRDefault="00C458D2" w:rsidP="007237D1">
      <w:pPr>
        <w:pStyle w:val="BodyText"/>
        <w:numPr>
          <w:ilvl w:val="0"/>
          <w:numId w:val="34"/>
        </w:numPr>
        <w:rPr>
          <w:lang w:val="en-US"/>
        </w:rPr>
      </w:pPr>
      <w:r w:rsidRPr="00C458D2">
        <w:rPr>
          <w:lang w:val="en-US"/>
        </w:rPr>
        <w:t xml:space="preserve">In an infrastructure with 20 AIS Base Stations attached to 4 IALA beacons, the </w:t>
      </w:r>
      <w:r w:rsidR="0052510B">
        <w:rPr>
          <w:lang w:val="en-US"/>
        </w:rPr>
        <w:t>payback</w:t>
      </w:r>
      <w:r w:rsidRPr="00C458D2">
        <w:rPr>
          <w:lang w:val="en-US"/>
        </w:rPr>
        <w:t xml:space="preserve"> due to the savings in OPEX happens as of the 13</w:t>
      </w:r>
      <w:r w:rsidRPr="00C458D2">
        <w:rPr>
          <w:vertAlign w:val="superscript"/>
          <w:lang w:val="en-US"/>
        </w:rPr>
        <w:t>th</w:t>
      </w:r>
      <w:r w:rsidRPr="00C458D2">
        <w:rPr>
          <w:lang w:val="en-US"/>
        </w:rPr>
        <w:t xml:space="preserve"> year since the infrastructure upgrade. </w:t>
      </w:r>
    </w:p>
    <w:p w14:paraId="7B522DE3" w14:textId="77777777" w:rsidR="00C458D2" w:rsidRDefault="005576EB" w:rsidP="00C458D2">
      <w:pPr>
        <w:pStyle w:val="BodyText"/>
        <w:rPr>
          <w:lang w:val="en-US"/>
        </w:rPr>
      </w:pPr>
      <w:r>
        <w:rPr>
          <w:lang w:val="en-US"/>
        </w:rPr>
        <w:t>Situation AIS #</w:t>
      </w:r>
      <w:r w:rsidR="00C458D2">
        <w:rPr>
          <w:lang w:val="en-US"/>
        </w:rPr>
        <w:t>2</w:t>
      </w:r>
      <w:r w:rsidR="00212FC8">
        <w:rPr>
          <w:lang w:val="en-US"/>
        </w:rPr>
        <w:t xml:space="preserve"> (New infrastructure)</w:t>
      </w:r>
      <w:r w:rsidR="00C458D2">
        <w:rPr>
          <w:lang w:val="en-US"/>
        </w:rPr>
        <w:t>:</w:t>
      </w:r>
    </w:p>
    <w:p w14:paraId="1AB75A00" w14:textId="77777777" w:rsidR="00C52236" w:rsidRPr="00C52236" w:rsidRDefault="00C52236" w:rsidP="007237D1">
      <w:pPr>
        <w:pStyle w:val="BodyText"/>
        <w:numPr>
          <w:ilvl w:val="0"/>
          <w:numId w:val="34"/>
        </w:numPr>
      </w:pPr>
      <w:r w:rsidRPr="00C52236">
        <w:lastRenderedPageBreak/>
        <w:t>CAPEX and OPEX in the reference scenario include not only the AIS related costs but also the DGNSS reference stations costs which are needed to provide the corrections.</w:t>
      </w:r>
    </w:p>
    <w:p w14:paraId="07046149" w14:textId="77777777" w:rsidR="00C52236" w:rsidRPr="00C52236" w:rsidRDefault="00C52236" w:rsidP="007237D1">
      <w:pPr>
        <w:pStyle w:val="BodyText"/>
        <w:numPr>
          <w:ilvl w:val="0"/>
          <w:numId w:val="34"/>
        </w:numPr>
      </w:pPr>
      <w:r w:rsidRPr="00C52236">
        <w:t xml:space="preserve">This analysis is focused in the cost comparison between the deployment of a decentralised infrastructure of IALA DGNSS stations to feed the AIS Base Stations (1 IALA beacon each 5 AIS base stations) and the deployment of a centralised alternative based on EGNOS, without IALA DGNSS stations. </w:t>
      </w:r>
    </w:p>
    <w:p w14:paraId="4E14D23C" w14:textId="77777777" w:rsidR="00C52236" w:rsidRPr="00C52236" w:rsidRDefault="00C52236" w:rsidP="007237D1">
      <w:pPr>
        <w:pStyle w:val="BodyText"/>
        <w:numPr>
          <w:ilvl w:val="0"/>
          <w:numId w:val="34"/>
        </w:numPr>
        <w:rPr>
          <w:lang w:val="en-US"/>
        </w:rPr>
      </w:pPr>
      <w:r w:rsidRPr="00C52236">
        <w:rPr>
          <w:lang w:val="en-US"/>
        </w:rPr>
        <w:t xml:space="preserve">CAPEX in a completely new infrastructure based on EGNOS is lower compared to CAPEX in the reference scenario. </w:t>
      </w:r>
    </w:p>
    <w:p w14:paraId="0FD221CA" w14:textId="77777777" w:rsidR="00C52236" w:rsidRPr="00C52236" w:rsidRDefault="00C52236" w:rsidP="007237D1">
      <w:pPr>
        <w:pStyle w:val="BodyText"/>
        <w:numPr>
          <w:ilvl w:val="0"/>
          <w:numId w:val="34"/>
        </w:numPr>
        <w:rPr>
          <w:lang w:val="en-US"/>
        </w:rPr>
      </w:pPr>
      <w:r w:rsidRPr="00C52236">
        <w:rPr>
          <w:lang w:val="en-US"/>
        </w:rPr>
        <w:t xml:space="preserve">The decrease of components on site entails a reduction in the maintenance costs, however OPEX increases due to the upgrade of the contract with the communications provider. This upgrade is needed since this is a centralized architecture. As of 15 AIS Base Stations OPEX decreases in the alternative scenario with regards to the reference one. </w:t>
      </w:r>
    </w:p>
    <w:p w14:paraId="0B66FBA2" w14:textId="77777777" w:rsidR="00C52236" w:rsidRPr="00C52236" w:rsidRDefault="00C52236" w:rsidP="007237D1">
      <w:pPr>
        <w:pStyle w:val="BodyText"/>
        <w:numPr>
          <w:ilvl w:val="0"/>
          <w:numId w:val="34"/>
        </w:numPr>
      </w:pPr>
      <w:r w:rsidRPr="00C52236">
        <w:t>According to the “Deltas for completely new infrastructure (cumulative)” a centralised option deployed for 5 AIS Base Stations is cheaper than the deployment of the reference scenario; however the increase in OPEX leads to a non-profitable result as of the 5</w:t>
      </w:r>
      <w:r w:rsidRPr="00C52236">
        <w:rPr>
          <w:vertAlign w:val="superscript"/>
        </w:rPr>
        <w:t>th</w:t>
      </w:r>
      <w:r w:rsidRPr="00C52236">
        <w:t xml:space="preserve"> year of operation. </w:t>
      </w:r>
    </w:p>
    <w:p w14:paraId="08D020A4" w14:textId="77777777" w:rsidR="00C52236" w:rsidRPr="00C52236" w:rsidRDefault="00C52236" w:rsidP="007237D1">
      <w:pPr>
        <w:pStyle w:val="BodyText"/>
        <w:numPr>
          <w:ilvl w:val="0"/>
          <w:numId w:val="34"/>
        </w:numPr>
      </w:pPr>
      <w:r w:rsidRPr="00C52236">
        <w:t xml:space="preserve">According to the “Deltas for completely new infrastructure (cumulative)” a centralised option deployed for 15 (or more) AIS Base Stations is cheaper than the deployment of the reference scenario; besides the decrease in OPEX leads to a growing profit result along the years. </w:t>
      </w:r>
    </w:p>
    <w:p w14:paraId="3380DC31" w14:textId="77777777" w:rsidR="00FF1AC6" w:rsidRPr="00C458D2" w:rsidRDefault="00FF1AC6" w:rsidP="00C458D2">
      <w:pPr>
        <w:pStyle w:val="AnnexHeading1"/>
        <w:keepNext/>
        <w:numPr>
          <w:ilvl w:val="2"/>
          <w:numId w:val="16"/>
        </w:numPr>
      </w:pPr>
      <w:r>
        <w:t>C</w:t>
      </w:r>
      <w:r w:rsidRPr="00CC0473">
        <w:t>entralised</w:t>
      </w:r>
      <w:r w:rsidRPr="006925B0">
        <w:t xml:space="preserve"> – EGNOS EDAS</w:t>
      </w:r>
    </w:p>
    <w:bookmarkEnd w:id="7"/>
    <w:bookmarkEnd w:id="8"/>
    <w:bookmarkEnd w:id="9"/>
    <w:p w14:paraId="718C0882" w14:textId="77777777" w:rsidR="00C52236" w:rsidRDefault="00C52236" w:rsidP="00C52236">
      <w:pPr>
        <w:pStyle w:val="BodyText"/>
      </w:pPr>
      <w:r>
        <w:t>Qualitative costs analysis results:</w:t>
      </w:r>
    </w:p>
    <w:p w14:paraId="242F52B9" w14:textId="00EF2E88" w:rsidR="00C52236" w:rsidRDefault="00C52236" w:rsidP="00C52236">
      <w:pPr>
        <w:pStyle w:val="BodyText"/>
      </w:pPr>
      <w:r>
        <w:t xml:space="preserve">Situation </w:t>
      </w:r>
      <w:r w:rsidR="005576EB">
        <w:t>AIS #1</w:t>
      </w:r>
      <w:r w:rsidR="001F0A5D">
        <w:t xml:space="preserve"> (Infrastructure upgrade)</w:t>
      </w:r>
      <w:r>
        <w:t>:</w:t>
      </w:r>
    </w:p>
    <w:p w14:paraId="46854179" w14:textId="77777777" w:rsidR="00C52236" w:rsidRPr="00C52236" w:rsidRDefault="00C52236" w:rsidP="007237D1">
      <w:pPr>
        <w:pStyle w:val="BodyText"/>
        <w:numPr>
          <w:ilvl w:val="0"/>
          <w:numId w:val="34"/>
        </w:numPr>
      </w:pPr>
      <w:r w:rsidRPr="00C52236">
        <w:t>CAPEX and OPEX in the reference scenario include not only the AIS related costs but also the DGNSS reference stations costs which are needed to provide the corrections.</w:t>
      </w:r>
    </w:p>
    <w:p w14:paraId="012D96A1" w14:textId="77777777" w:rsidR="00C52236" w:rsidRPr="00C52236" w:rsidRDefault="00C52236" w:rsidP="007237D1">
      <w:pPr>
        <w:pStyle w:val="BodyText"/>
        <w:numPr>
          <w:ilvl w:val="0"/>
          <w:numId w:val="34"/>
        </w:numPr>
        <w:rPr>
          <w:lang w:val="en-US"/>
        </w:rPr>
      </w:pPr>
      <w:r w:rsidRPr="00C52236">
        <w:rPr>
          <w:lang w:val="en-US"/>
        </w:rPr>
        <w:t xml:space="preserve">CAPEX in a completely new infrastructure based on EGNOS is lower compared to CAPEX in the reference scenario, except in the case that there are only one or two IALA DGNSS stations (a centralized architecture does not have sense in this situation). </w:t>
      </w:r>
    </w:p>
    <w:p w14:paraId="4CF83F88" w14:textId="77777777" w:rsidR="00C52236" w:rsidRDefault="00C52236" w:rsidP="007237D1">
      <w:pPr>
        <w:pStyle w:val="BodyText"/>
        <w:numPr>
          <w:ilvl w:val="0"/>
          <w:numId w:val="34"/>
        </w:numPr>
        <w:rPr>
          <w:lang w:val="en-US"/>
        </w:rPr>
      </w:pPr>
      <w:r w:rsidRPr="00C52236">
        <w:rPr>
          <w:lang w:val="en-US"/>
        </w:rPr>
        <w:t>The removal of components in the IALA beacons entails a reduction in the maintenance costs, which balances out the OPEX increase due to the upgrade of the contract with the communications provider.</w:t>
      </w:r>
    </w:p>
    <w:p w14:paraId="6AAA2237" w14:textId="77777777" w:rsidR="00C52236" w:rsidRDefault="00C52236" w:rsidP="007237D1">
      <w:pPr>
        <w:pStyle w:val="BodyText"/>
        <w:numPr>
          <w:ilvl w:val="0"/>
          <w:numId w:val="34"/>
        </w:numPr>
        <w:rPr>
          <w:lang w:val="en-US"/>
        </w:rPr>
      </w:pPr>
      <w:r w:rsidRPr="00C52236">
        <w:rPr>
          <w:lang w:val="en-US"/>
        </w:rPr>
        <w:t xml:space="preserve">In an infrastructure with 20 AIS Base Stations attached to 4 IALA beacons, the </w:t>
      </w:r>
      <w:r w:rsidR="0052510B">
        <w:rPr>
          <w:lang w:val="en-US"/>
        </w:rPr>
        <w:t>payback</w:t>
      </w:r>
      <w:r w:rsidRPr="00C52236">
        <w:rPr>
          <w:lang w:val="en-US"/>
        </w:rPr>
        <w:t xml:space="preserve"> due to the savings in OPEX happens as of the 11</w:t>
      </w:r>
      <w:r w:rsidRPr="00C52236">
        <w:rPr>
          <w:vertAlign w:val="superscript"/>
          <w:lang w:val="en-US"/>
        </w:rPr>
        <w:t>th</w:t>
      </w:r>
      <w:r w:rsidRPr="00C52236">
        <w:rPr>
          <w:lang w:val="en-US"/>
        </w:rPr>
        <w:t xml:space="preserve"> year since the infrastructure upgrade.</w:t>
      </w:r>
    </w:p>
    <w:p w14:paraId="1BEF8D2C" w14:textId="72D8CB1B" w:rsidR="00C52236" w:rsidRDefault="005576EB" w:rsidP="00C52236">
      <w:pPr>
        <w:pStyle w:val="BodyText"/>
        <w:rPr>
          <w:lang w:val="en-US"/>
        </w:rPr>
      </w:pPr>
      <w:r>
        <w:rPr>
          <w:lang w:val="en-US"/>
        </w:rPr>
        <w:t>Situation AIS #</w:t>
      </w:r>
      <w:r w:rsidR="00C52236">
        <w:rPr>
          <w:lang w:val="en-US"/>
        </w:rPr>
        <w:t>2</w:t>
      </w:r>
      <w:r w:rsidR="001F0A5D">
        <w:rPr>
          <w:lang w:val="en-US"/>
        </w:rPr>
        <w:t xml:space="preserve"> (New infrastructure)</w:t>
      </w:r>
      <w:r w:rsidR="00C52236">
        <w:rPr>
          <w:lang w:val="en-US"/>
        </w:rPr>
        <w:t>:</w:t>
      </w:r>
    </w:p>
    <w:p w14:paraId="500787C2" w14:textId="77777777" w:rsidR="00C52236" w:rsidRPr="00C52236" w:rsidRDefault="00C52236" w:rsidP="007237D1">
      <w:pPr>
        <w:pStyle w:val="BodyText"/>
        <w:numPr>
          <w:ilvl w:val="0"/>
          <w:numId w:val="34"/>
        </w:numPr>
      </w:pPr>
      <w:r w:rsidRPr="00C52236">
        <w:t>CAPEX and OPEX in the reference scenario include not only the AIS related costs but also the DGNSS reference stations costs which are needed to provide the corrections.</w:t>
      </w:r>
    </w:p>
    <w:p w14:paraId="4BEFEED9" w14:textId="77777777" w:rsidR="00C52236" w:rsidRPr="00C52236" w:rsidRDefault="00C52236" w:rsidP="007237D1">
      <w:pPr>
        <w:pStyle w:val="BodyText"/>
        <w:numPr>
          <w:ilvl w:val="0"/>
          <w:numId w:val="34"/>
        </w:numPr>
      </w:pPr>
      <w:r w:rsidRPr="00C52236">
        <w:t xml:space="preserve">This analysis is focused in the cost comparison between the deployment of a decentralised infrastructure of IALA DGNSS stations to feed the AIS Base Stations (1 IALA beacon each 5 AIS base stations) and the deployment of a centralised alternative based on EDAS, without IALA DGNSS stations. </w:t>
      </w:r>
    </w:p>
    <w:p w14:paraId="4EAADEB6" w14:textId="77777777" w:rsidR="00C52236" w:rsidRPr="00C52236" w:rsidRDefault="00C52236" w:rsidP="007237D1">
      <w:pPr>
        <w:pStyle w:val="BodyText"/>
        <w:numPr>
          <w:ilvl w:val="0"/>
          <w:numId w:val="34"/>
        </w:numPr>
        <w:rPr>
          <w:lang w:val="en-US"/>
        </w:rPr>
      </w:pPr>
      <w:r w:rsidRPr="00C52236">
        <w:rPr>
          <w:lang w:val="en-US"/>
        </w:rPr>
        <w:t xml:space="preserve">CAPEX in a completely new infrastructure based on EDAS is lower compared to CAPEX in the reference scenario. </w:t>
      </w:r>
    </w:p>
    <w:p w14:paraId="0C2ECAD4" w14:textId="77777777" w:rsidR="00C52236" w:rsidRPr="00C52236" w:rsidRDefault="00C52236" w:rsidP="007237D1">
      <w:pPr>
        <w:pStyle w:val="BodyText"/>
        <w:numPr>
          <w:ilvl w:val="0"/>
          <w:numId w:val="34"/>
        </w:numPr>
        <w:rPr>
          <w:lang w:val="en-US"/>
        </w:rPr>
      </w:pPr>
      <w:r w:rsidRPr="00C52236">
        <w:rPr>
          <w:lang w:val="en-US"/>
        </w:rPr>
        <w:t xml:space="preserve">The decrease of components on site entails a reduction in the maintenance costs, however OPEX increases due to the upgrade of the contract with the communications provider. This upgrade is needed since this is a centralized architecture based on EDAS. As of 15 AIS Base Stations OPEX decreases in the alternative scenario with regards to the reference one. </w:t>
      </w:r>
    </w:p>
    <w:p w14:paraId="7A27F144" w14:textId="77777777" w:rsidR="00C52236" w:rsidRPr="00C52236" w:rsidRDefault="00C52236" w:rsidP="007237D1">
      <w:pPr>
        <w:pStyle w:val="BodyText"/>
        <w:numPr>
          <w:ilvl w:val="0"/>
          <w:numId w:val="34"/>
        </w:numPr>
      </w:pPr>
      <w:r w:rsidRPr="00C52236">
        <w:lastRenderedPageBreak/>
        <w:t>According to the “Deltas for completely new infrastructure (cumulative)” a centralised option deployed for 5 AIS Base Stations is cheaper than the deployment of the reference scenario; however the increase in OPEX leads to a non-profitable result as of the 7</w:t>
      </w:r>
      <w:r w:rsidRPr="00C52236">
        <w:rPr>
          <w:vertAlign w:val="superscript"/>
        </w:rPr>
        <w:t>th</w:t>
      </w:r>
      <w:r w:rsidRPr="00C52236">
        <w:t xml:space="preserve"> year of operation. </w:t>
      </w:r>
    </w:p>
    <w:p w14:paraId="695FBE21" w14:textId="77777777" w:rsidR="00C52236" w:rsidRDefault="00C52236" w:rsidP="007237D1">
      <w:pPr>
        <w:pStyle w:val="BodyText"/>
        <w:numPr>
          <w:ilvl w:val="0"/>
          <w:numId w:val="34"/>
        </w:numPr>
      </w:pPr>
      <w:r w:rsidRPr="00C52236">
        <w:t xml:space="preserve">According to the “Deltas for completely new infrastructure (cumulative)” a centralised option deployed for 15 (or more) AIS Base Stations is cheaper than the deployment of the reference scenario; besides the decrease in OPEX leads to a growing profit result along the years. </w:t>
      </w:r>
    </w:p>
    <w:p w14:paraId="190DDEB8" w14:textId="77777777" w:rsidR="00817598" w:rsidRPr="00C52236" w:rsidRDefault="00817598" w:rsidP="00817598">
      <w:pPr>
        <w:pStyle w:val="BodyText"/>
        <w:ind w:left="360"/>
      </w:pPr>
    </w:p>
    <w:p w14:paraId="4425ED72" w14:textId="77777777" w:rsidR="00C52236" w:rsidRPr="00741179" w:rsidRDefault="00C52236" w:rsidP="00C52236">
      <w:pPr>
        <w:pStyle w:val="AnnexHeading1"/>
        <w:numPr>
          <w:ilvl w:val="1"/>
          <w:numId w:val="16"/>
        </w:numPr>
      </w:pPr>
      <w:r w:rsidRPr="00741179">
        <w:t>Costs comparison and conclusions</w:t>
      </w:r>
    </w:p>
    <w:p w14:paraId="7E12F584" w14:textId="77777777" w:rsidR="00CF033B" w:rsidRPr="00CF033B" w:rsidRDefault="00CF033B" w:rsidP="00CF033B">
      <w:pPr>
        <w:pStyle w:val="AnnexHeading1"/>
        <w:keepNext/>
        <w:numPr>
          <w:ilvl w:val="2"/>
          <w:numId w:val="16"/>
        </w:numPr>
      </w:pPr>
      <w:r w:rsidRPr="00CF033B">
        <w:t>Infrastructure upgrade</w:t>
      </w:r>
      <w:r w:rsidR="001C2684">
        <w:t xml:space="preserve"> – AIS #1</w:t>
      </w:r>
    </w:p>
    <w:p w14:paraId="3861D79E" w14:textId="77777777" w:rsidR="00C52236" w:rsidRPr="00C52236" w:rsidRDefault="00C52236" w:rsidP="00C52236">
      <w:pPr>
        <w:spacing w:after="120"/>
        <w:jc w:val="both"/>
        <w:rPr>
          <w:rFonts w:asciiTheme="minorHAnsi" w:eastAsia="Times New Roman" w:hAnsiTheme="minorHAnsi" w:cs="Times New Roman"/>
          <w:b/>
          <w:lang w:eastAsia="en-US"/>
        </w:rPr>
      </w:pPr>
      <w:r w:rsidRPr="00C52236">
        <w:rPr>
          <w:rFonts w:asciiTheme="minorHAnsi" w:eastAsia="Times New Roman" w:hAnsiTheme="minorHAnsi" w:cs="Times New Roman"/>
          <w:lang w:eastAsia="en-US"/>
        </w:rPr>
        <w:t>The reference scenario is already deployed and the connected DGNSS beacons are upgraded following a decentralised or centralised EGNOS-based alternative.</w:t>
      </w:r>
    </w:p>
    <w:p w14:paraId="1C999C3F" w14:textId="77777777" w:rsidR="00FF296E" w:rsidRDefault="001C2684" w:rsidP="001C2684">
      <w:pPr>
        <w:spacing w:after="120"/>
        <w:jc w:val="both"/>
        <w:rPr>
          <w:rFonts w:asciiTheme="minorHAnsi" w:eastAsia="Times New Roman" w:hAnsiTheme="minorHAnsi" w:cs="Times New Roman"/>
          <w:lang w:eastAsia="en-US"/>
        </w:rPr>
      </w:pPr>
      <w:r>
        <w:rPr>
          <w:rFonts w:asciiTheme="minorHAnsi" w:eastAsia="Times New Roman" w:hAnsiTheme="minorHAnsi" w:cs="Times New Roman"/>
          <w:lang w:eastAsia="en-US"/>
        </w:rPr>
        <w:t>I</w:t>
      </w:r>
      <w:r w:rsidR="005B3101" w:rsidRPr="00C52236">
        <w:rPr>
          <w:rFonts w:asciiTheme="minorHAnsi" w:eastAsia="Times New Roman" w:hAnsiTheme="minorHAnsi" w:cs="Times New Roman"/>
          <w:lang w:eastAsia="en-US"/>
        </w:rPr>
        <w:t>n the decentralised options</w:t>
      </w:r>
      <w:r w:rsidR="005677B0">
        <w:rPr>
          <w:rFonts w:asciiTheme="minorHAnsi" w:eastAsia="Times New Roman" w:hAnsiTheme="minorHAnsi" w:cs="Times New Roman"/>
          <w:lang w:eastAsia="en-US"/>
        </w:rPr>
        <w:t>,</w:t>
      </w:r>
      <w:r w:rsidR="005B3101" w:rsidRPr="00C52236">
        <w:rPr>
          <w:rFonts w:asciiTheme="minorHAnsi" w:eastAsia="Times New Roman" w:hAnsiTheme="minorHAnsi" w:cs="Times New Roman"/>
          <w:lang w:eastAsia="en-US"/>
        </w:rPr>
        <w:t xml:space="preserve"> CAPEX investment is directly related with the number of IALA beacons feeding the AIS network. Besides, the centralised alternatives are the ones requiring the highest upgrade investments in terms of CAPEX.</w:t>
      </w:r>
      <w:bookmarkStart w:id="14" w:name="_Ref454896851"/>
      <w:bookmarkStart w:id="15" w:name="_Toc467485846"/>
      <w:r w:rsidR="00FF296E" w:rsidRPr="007779CB">
        <w:rPr>
          <w:rFonts w:asciiTheme="minorHAnsi" w:eastAsia="Times New Roman" w:hAnsiTheme="minorHAnsi" w:cs="Times New Roman"/>
          <w:lang w:eastAsia="en-US"/>
        </w:rPr>
        <w:t xml:space="preserve"> </w:t>
      </w:r>
    </w:p>
    <w:p w14:paraId="4C0BDA2D" w14:textId="77777777" w:rsidR="00FF296E" w:rsidRPr="007779CB" w:rsidRDefault="005B3101" w:rsidP="001C2684">
      <w:pPr>
        <w:spacing w:after="120"/>
        <w:jc w:val="both"/>
        <w:rPr>
          <w:rFonts w:asciiTheme="minorHAnsi" w:eastAsia="Times New Roman" w:hAnsiTheme="minorHAnsi" w:cs="Times New Roman"/>
          <w:lang w:eastAsia="en-US"/>
        </w:rPr>
      </w:pPr>
      <w:r w:rsidRPr="00C52236">
        <w:rPr>
          <w:rFonts w:asciiTheme="minorHAnsi" w:eastAsia="Times New Roman" w:hAnsiTheme="minorHAnsi" w:cs="Times New Roman"/>
          <w:lang w:eastAsia="en-US"/>
        </w:rPr>
        <w:t xml:space="preserve">Regarding the evolution of the operational expenditures in the alternate scenarios compared with the reference scenario, they are clearly reduced as the number of onsite equipment decreases; that is in the centralised architectures, even taking into account the upgrades of the contract with the ISP. </w:t>
      </w:r>
      <w:bookmarkStart w:id="16" w:name="_Ref454897183"/>
      <w:bookmarkStart w:id="17" w:name="_Toc467485847"/>
      <w:bookmarkEnd w:id="14"/>
      <w:bookmarkEnd w:id="15"/>
    </w:p>
    <w:bookmarkEnd w:id="16"/>
    <w:bookmarkEnd w:id="17"/>
    <w:p w14:paraId="7DBDE083" w14:textId="77777777" w:rsidR="00C52236" w:rsidRDefault="00C52236" w:rsidP="00C52236">
      <w:pPr>
        <w:spacing w:after="120"/>
        <w:jc w:val="both"/>
        <w:rPr>
          <w:rFonts w:asciiTheme="minorHAnsi" w:eastAsia="Times New Roman" w:hAnsiTheme="minorHAnsi" w:cs="Times New Roman"/>
          <w:lang w:eastAsia="en-US"/>
        </w:rPr>
      </w:pPr>
      <w:r w:rsidRPr="00C52236">
        <w:rPr>
          <w:rFonts w:asciiTheme="minorHAnsi" w:eastAsia="Times New Roman" w:hAnsiTheme="minorHAnsi" w:cs="Times New Roman"/>
          <w:lang w:eastAsia="en-US"/>
        </w:rPr>
        <w:t>The following table summarises the costs results in a large size deployment, if referred to inland waters, or a medium-small size deployment, if referred to coastal AIS. This case analyses an infrastructure upgrade in a network with 20 AIS base stations.</w:t>
      </w:r>
    </w:p>
    <w:p w14:paraId="785AFE91" w14:textId="77777777" w:rsidR="007779CB" w:rsidRPr="007779CB" w:rsidRDefault="007779CB" w:rsidP="007237D1">
      <w:pPr>
        <w:pStyle w:val="Table"/>
        <w:numPr>
          <w:ilvl w:val="0"/>
          <w:numId w:val="35"/>
        </w:numPr>
        <w:rPr>
          <w:rFonts w:asciiTheme="minorHAnsi" w:hAnsiTheme="minorHAnsi"/>
        </w:rPr>
      </w:pPr>
      <w:r w:rsidRPr="00C52236">
        <w:rPr>
          <w:rFonts w:asciiTheme="minorHAnsi" w:eastAsia="Times New Roman" w:hAnsiTheme="minorHAnsi" w:cs="Times New Roman"/>
          <w:lang w:eastAsia="en-US"/>
        </w:rPr>
        <w:t xml:space="preserve">Costs </w:t>
      </w:r>
      <w:r w:rsidR="001C2684">
        <w:rPr>
          <w:rFonts w:asciiTheme="minorHAnsi" w:eastAsia="Times New Roman" w:hAnsiTheme="minorHAnsi" w:cs="Times New Roman"/>
          <w:lang w:eastAsia="en-US"/>
        </w:rPr>
        <w:t>variation</w:t>
      </w:r>
      <w:r w:rsidRPr="00C52236">
        <w:rPr>
          <w:rFonts w:asciiTheme="minorHAnsi" w:eastAsia="Times New Roman" w:hAnsiTheme="minorHAnsi" w:cs="Times New Roman"/>
          <w:lang w:eastAsia="en-US"/>
        </w:rPr>
        <w:t xml:space="preserve"> – 20 stations – infrastructure upgrade</w:t>
      </w:r>
    </w:p>
    <w:tbl>
      <w:tblPr>
        <w:tblStyle w:val="TableGrid4"/>
        <w:tblW w:w="0" w:type="auto"/>
        <w:jc w:val="center"/>
        <w:tblLook w:val="04A0" w:firstRow="1" w:lastRow="0" w:firstColumn="1" w:lastColumn="0" w:noHBand="0" w:noVBand="1"/>
      </w:tblPr>
      <w:tblGrid>
        <w:gridCol w:w="3267"/>
        <w:gridCol w:w="1522"/>
        <w:gridCol w:w="1542"/>
        <w:gridCol w:w="1401"/>
        <w:gridCol w:w="1304"/>
      </w:tblGrid>
      <w:tr w:rsidR="00C52236" w:rsidRPr="00C52236" w14:paraId="280A8665" w14:textId="77777777" w:rsidTr="007779CB">
        <w:trPr>
          <w:jc w:val="center"/>
        </w:trPr>
        <w:tc>
          <w:tcPr>
            <w:tcW w:w="3267" w:type="dxa"/>
            <w:tcBorders>
              <w:top w:val="single" w:sz="4" w:space="0" w:color="auto"/>
              <w:left w:val="single" w:sz="4" w:space="0" w:color="auto"/>
              <w:right w:val="single" w:sz="18" w:space="0" w:color="auto"/>
            </w:tcBorders>
          </w:tcPr>
          <w:p w14:paraId="55E4FFFA" w14:textId="77777777" w:rsidR="00C52236" w:rsidRPr="00C52236" w:rsidRDefault="00C52236" w:rsidP="00C52236">
            <w:pPr>
              <w:spacing w:before="60" w:after="60"/>
              <w:ind w:left="360"/>
              <w:jc w:val="center"/>
              <w:rPr>
                <w:rFonts w:asciiTheme="minorHAnsi" w:hAnsiTheme="minorHAnsi" w:cs="Times New Roman"/>
                <w:b/>
                <w:lang w:val="en-US" w:eastAsia="en-US"/>
              </w:rPr>
            </w:pPr>
            <w:r w:rsidRPr="00C52236">
              <w:rPr>
                <w:rFonts w:asciiTheme="minorHAnsi" w:hAnsiTheme="minorHAnsi" w:cs="Times New Roman"/>
                <w:b/>
                <w:lang w:val="en-US" w:eastAsia="en-US"/>
              </w:rPr>
              <w:t>20 stations</w:t>
            </w:r>
          </w:p>
          <w:p w14:paraId="4D3D0B09" w14:textId="77777777" w:rsidR="00C52236" w:rsidRPr="00C52236" w:rsidRDefault="00C52236" w:rsidP="00C52236">
            <w:pPr>
              <w:spacing w:before="60" w:after="60"/>
              <w:ind w:left="360"/>
              <w:jc w:val="center"/>
              <w:rPr>
                <w:rFonts w:asciiTheme="minorHAnsi" w:hAnsiTheme="minorHAnsi" w:cs="Times New Roman"/>
                <w:b/>
                <w:lang w:val="en-US" w:eastAsia="en-US"/>
              </w:rPr>
            </w:pPr>
            <w:r w:rsidRPr="00C52236">
              <w:rPr>
                <w:rFonts w:asciiTheme="minorHAnsi" w:hAnsiTheme="minorHAnsi" w:cs="Times New Roman"/>
                <w:b/>
                <w:lang w:val="en-US" w:eastAsia="en-US"/>
              </w:rPr>
              <w:t>Infrastructure upgrade</w:t>
            </w:r>
          </w:p>
        </w:tc>
        <w:tc>
          <w:tcPr>
            <w:tcW w:w="1522" w:type="dxa"/>
            <w:tcBorders>
              <w:left w:val="single" w:sz="18" w:space="0" w:color="auto"/>
            </w:tcBorders>
            <w:vAlign w:val="center"/>
          </w:tcPr>
          <w:p w14:paraId="39DD43B8" w14:textId="77777777" w:rsidR="00C52236" w:rsidRPr="00C52236" w:rsidRDefault="00C5223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Decentralised</w:t>
            </w:r>
          </w:p>
          <w:p w14:paraId="787BAF73" w14:textId="77777777" w:rsidR="00C52236" w:rsidRPr="00C52236" w:rsidRDefault="00C5223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EGNOS-SIS</w:t>
            </w:r>
          </w:p>
        </w:tc>
        <w:tc>
          <w:tcPr>
            <w:tcW w:w="1542" w:type="dxa"/>
            <w:vAlign w:val="center"/>
          </w:tcPr>
          <w:p w14:paraId="3C06C52A" w14:textId="77777777" w:rsidR="00C52236" w:rsidRPr="00C52236" w:rsidRDefault="00C5223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Decentralised</w:t>
            </w:r>
          </w:p>
          <w:p w14:paraId="6AC6B5CB" w14:textId="77777777" w:rsidR="00C52236" w:rsidRPr="00C52236" w:rsidRDefault="00C5223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EDAS</w:t>
            </w:r>
          </w:p>
        </w:tc>
        <w:tc>
          <w:tcPr>
            <w:tcW w:w="1401" w:type="dxa"/>
            <w:vAlign w:val="center"/>
          </w:tcPr>
          <w:p w14:paraId="64392F45" w14:textId="77777777" w:rsidR="00C52236" w:rsidRPr="00C52236" w:rsidRDefault="00C5223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Centralised</w:t>
            </w:r>
          </w:p>
          <w:p w14:paraId="00D75418" w14:textId="77777777" w:rsidR="00C52236" w:rsidRPr="00C52236" w:rsidRDefault="00C5223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EGNOS-SIS</w:t>
            </w:r>
          </w:p>
        </w:tc>
        <w:tc>
          <w:tcPr>
            <w:tcW w:w="1304" w:type="dxa"/>
            <w:vAlign w:val="center"/>
          </w:tcPr>
          <w:p w14:paraId="5FC1D104" w14:textId="77777777" w:rsidR="00C52236" w:rsidRPr="00C52236" w:rsidRDefault="00C5223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Centralised</w:t>
            </w:r>
          </w:p>
          <w:p w14:paraId="297C7E6B" w14:textId="77777777" w:rsidR="00C52236" w:rsidRPr="00C52236" w:rsidRDefault="00C5223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EDAS</w:t>
            </w:r>
          </w:p>
        </w:tc>
      </w:tr>
      <w:tr w:rsidR="001C2684" w:rsidRPr="00C52236" w14:paraId="395F9B47" w14:textId="77777777" w:rsidTr="00E443BD">
        <w:trPr>
          <w:jc w:val="center"/>
        </w:trPr>
        <w:tc>
          <w:tcPr>
            <w:tcW w:w="3267" w:type="dxa"/>
            <w:tcBorders>
              <w:right w:val="single" w:sz="18" w:space="0" w:color="auto"/>
            </w:tcBorders>
            <w:vAlign w:val="center"/>
          </w:tcPr>
          <w:p w14:paraId="36D29B05" w14:textId="22A292EF" w:rsidR="001C2684" w:rsidRPr="00C52236" w:rsidRDefault="001C2684" w:rsidP="001953C0">
            <w:pPr>
              <w:spacing w:before="60" w:after="60"/>
              <w:rPr>
                <w:rFonts w:asciiTheme="minorHAnsi" w:hAnsiTheme="minorHAnsi" w:cs="Times New Roman"/>
                <w:color w:val="00B050"/>
                <w:lang w:val="en-US" w:eastAsia="en-US"/>
              </w:rPr>
            </w:pPr>
            <w:r w:rsidRPr="00C52236">
              <w:rPr>
                <w:rFonts w:asciiTheme="minorHAnsi" w:hAnsiTheme="minorHAnsi" w:cs="Times New Roman"/>
                <w:b/>
                <w:lang w:val="en-US" w:eastAsia="en-US"/>
              </w:rPr>
              <w:t>CAPEX</w:t>
            </w:r>
            <w:r w:rsidR="001953C0">
              <w:rPr>
                <w:rFonts w:asciiTheme="minorHAnsi" w:hAnsiTheme="minorHAnsi" w:cs="Times New Roman"/>
                <w:b/>
                <w:lang w:val="en-US" w:eastAsia="en-US"/>
              </w:rPr>
              <w:t>-U</w:t>
            </w:r>
          </w:p>
        </w:tc>
        <w:tc>
          <w:tcPr>
            <w:tcW w:w="1522" w:type="dxa"/>
            <w:tcBorders>
              <w:left w:val="single" w:sz="18" w:space="0" w:color="auto"/>
            </w:tcBorders>
          </w:tcPr>
          <w:p w14:paraId="4891EFD9" w14:textId="51EB9E42" w:rsidR="001C2684" w:rsidRPr="001953C0" w:rsidRDefault="001C2684" w:rsidP="001C2684">
            <w:pPr>
              <w:spacing w:before="60" w:after="60"/>
              <w:jc w:val="center"/>
              <w:rPr>
                <w:rFonts w:ascii="Calibri" w:hAnsi="Calibri"/>
                <w:lang w:eastAsia="en-US"/>
              </w:rPr>
            </w:pPr>
            <w:r w:rsidRPr="001953C0">
              <w:rPr>
                <w:rFonts w:ascii="Calibri" w:hAnsi="Calibri"/>
                <w:lang w:eastAsia="en-US"/>
              </w:rPr>
              <w:t>5,2%</w:t>
            </w:r>
          </w:p>
        </w:tc>
        <w:tc>
          <w:tcPr>
            <w:tcW w:w="1542" w:type="dxa"/>
          </w:tcPr>
          <w:p w14:paraId="21AB3A4A" w14:textId="57233619" w:rsidR="001C2684" w:rsidRPr="001953C0" w:rsidRDefault="001C2684" w:rsidP="001C2684">
            <w:pPr>
              <w:spacing w:before="60" w:after="60"/>
              <w:jc w:val="center"/>
              <w:rPr>
                <w:rFonts w:ascii="Calibri" w:hAnsi="Calibri"/>
                <w:lang w:eastAsia="en-US"/>
              </w:rPr>
            </w:pPr>
            <w:r w:rsidRPr="001953C0">
              <w:rPr>
                <w:rFonts w:ascii="Calibri" w:hAnsi="Calibri"/>
                <w:lang w:eastAsia="en-US"/>
              </w:rPr>
              <w:t>2,5%</w:t>
            </w:r>
          </w:p>
        </w:tc>
        <w:tc>
          <w:tcPr>
            <w:tcW w:w="1401" w:type="dxa"/>
          </w:tcPr>
          <w:p w14:paraId="40E7F649" w14:textId="7CDF3B0A" w:rsidR="001C2684" w:rsidRPr="001953C0" w:rsidRDefault="001C2684" w:rsidP="001C2684">
            <w:pPr>
              <w:spacing w:before="60" w:after="60"/>
              <w:jc w:val="center"/>
              <w:rPr>
                <w:rFonts w:ascii="Calibri" w:hAnsi="Calibri"/>
                <w:lang w:eastAsia="en-US"/>
              </w:rPr>
            </w:pPr>
            <w:r w:rsidRPr="001953C0">
              <w:rPr>
                <w:rFonts w:ascii="Calibri" w:hAnsi="Calibri"/>
                <w:lang w:eastAsia="en-US"/>
              </w:rPr>
              <w:t>9,6%</w:t>
            </w:r>
          </w:p>
        </w:tc>
        <w:tc>
          <w:tcPr>
            <w:tcW w:w="1304" w:type="dxa"/>
          </w:tcPr>
          <w:p w14:paraId="1DE01A59" w14:textId="1AE8E64C" w:rsidR="001C2684" w:rsidRPr="001953C0" w:rsidRDefault="001C2684" w:rsidP="001C2684">
            <w:pPr>
              <w:spacing w:before="60" w:after="60"/>
              <w:jc w:val="center"/>
              <w:rPr>
                <w:rFonts w:ascii="Calibri" w:hAnsi="Calibri"/>
                <w:lang w:eastAsia="en-US"/>
              </w:rPr>
            </w:pPr>
            <w:r w:rsidRPr="001953C0">
              <w:rPr>
                <w:rFonts w:ascii="Calibri" w:hAnsi="Calibri"/>
                <w:lang w:eastAsia="en-US"/>
              </w:rPr>
              <w:t>8,9%</w:t>
            </w:r>
          </w:p>
        </w:tc>
      </w:tr>
      <w:tr w:rsidR="00C52236" w:rsidRPr="00C52236" w14:paraId="0F549056" w14:textId="77777777" w:rsidTr="007779CB">
        <w:trPr>
          <w:jc w:val="center"/>
        </w:trPr>
        <w:tc>
          <w:tcPr>
            <w:tcW w:w="3267" w:type="dxa"/>
            <w:tcBorders>
              <w:right w:val="single" w:sz="18" w:space="0" w:color="auto"/>
            </w:tcBorders>
          </w:tcPr>
          <w:p w14:paraId="23D4CF8E" w14:textId="73D7A83B" w:rsidR="00C52236" w:rsidRPr="00C52236" w:rsidRDefault="00C52236" w:rsidP="001953C0">
            <w:pPr>
              <w:spacing w:before="60" w:after="60"/>
              <w:rPr>
                <w:rFonts w:asciiTheme="minorHAnsi" w:hAnsiTheme="minorHAnsi" w:cs="Times New Roman"/>
                <w:color w:val="00B050"/>
                <w:lang w:val="en-US" w:eastAsia="en-US"/>
              </w:rPr>
            </w:pPr>
            <w:r w:rsidRPr="00C52236">
              <w:rPr>
                <w:rFonts w:asciiTheme="minorHAnsi" w:hAnsiTheme="minorHAnsi" w:cs="Times New Roman"/>
                <w:b/>
                <w:lang w:val="en-US" w:eastAsia="en-US"/>
              </w:rPr>
              <w:t>OPEX</w:t>
            </w:r>
            <w:r w:rsidR="001953C0">
              <w:rPr>
                <w:rFonts w:asciiTheme="minorHAnsi" w:hAnsiTheme="minorHAnsi" w:cs="Times New Roman"/>
                <w:b/>
                <w:lang w:val="en-US" w:eastAsia="en-US"/>
              </w:rPr>
              <w:t>-D</w:t>
            </w:r>
          </w:p>
        </w:tc>
        <w:tc>
          <w:tcPr>
            <w:tcW w:w="1522" w:type="dxa"/>
            <w:tcBorders>
              <w:left w:val="single" w:sz="18" w:space="0" w:color="auto"/>
            </w:tcBorders>
            <w:vAlign w:val="center"/>
          </w:tcPr>
          <w:p w14:paraId="362B4F7B" w14:textId="77777777" w:rsidR="00C52236" w:rsidRPr="001F0A5D" w:rsidRDefault="00C52236" w:rsidP="00C52236">
            <w:pPr>
              <w:spacing w:before="60" w:after="60"/>
              <w:jc w:val="center"/>
              <w:rPr>
                <w:rFonts w:asciiTheme="minorHAnsi" w:hAnsiTheme="minorHAnsi" w:cs="Times New Roman"/>
                <w:color w:val="00B050"/>
                <w:lang w:val="en-US" w:eastAsia="en-US"/>
              </w:rPr>
            </w:pPr>
            <w:r w:rsidRPr="001F0A5D">
              <w:rPr>
                <w:rFonts w:asciiTheme="minorHAnsi" w:hAnsiTheme="minorHAnsi" w:cs="Times New Roman"/>
                <w:color w:val="00B050"/>
                <w:sz w:val="28"/>
                <w:lang w:val="en-US" w:eastAsia="en-US"/>
              </w:rPr>
              <w:t>=</w:t>
            </w:r>
          </w:p>
        </w:tc>
        <w:tc>
          <w:tcPr>
            <w:tcW w:w="1542" w:type="dxa"/>
            <w:vAlign w:val="center"/>
          </w:tcPr>
          <w:p w14:paraId="3694F3CE" w14:textId="77777777" w:rsidR="00C52236" w:rsidRPr="00C52236" w:rsidRDefault="00C52236" w:rsidP="00C52236">
            <w:pPr>
              <w:spacing w:before="60" w:after="60"/>
              <w:jc w:val="center"/>
              <w:rPr>
                <w:rFonts w:asciiTheme="minorHAnsi" w:hAnsiTheme="minorHAnsi" w:cs="Times New Roman"/>
                <w:color w:val="00B050"/>
                <w:lang w:val="en-US" w:eastAsia="en-US"/>
              </w:rPr>
            </w:pPr>
            <w:r w:rsidRPr="00C52236">
              <w:rPr>
                <w:rFonts w:cs="Arial"/>
                <w:color w:val="C00000"/>
                <w:lang w:eastAsia="en-US"/>
              </w:rPr>
              <w:t>▲</w:t>
            </w:r>
            <w:r w:rsidR="00DF1855">
              <w:rPr>
                <w:rFonts w:asciiTheme="minorHAnsi" w:hAnsiTheme="minorHAnsi" w:cs="Times New Roman"/>
                <w:color w:val="C00000"/>
                <w:lang w:eastAsia="en-US"/>
              </w:rPr>
              <w:t>0,8%</w:t>
            </w:r>
          </w:p>
        </w:tc>
        <w:tc>
          <w:tcPr>
            <w:tcW w:w="1401" w:type="dxa"/>
            <w:vAlign w:val="center"/>
          </w:tcPr>
          <w:p w14:paraId="0B5A02AD" w14:textId="77777777" w:rsidR="00C52236" w:rsidRPr="00C52236" w:rsidRDefault="00C52236" w:rsidP="00C52236">
            <w:pPr>
              <w:keepNext/>
              <w:spacing w:before="60" w:after="60"/>
              <w:jc w:val="center"/>
              <w:rPr>
                <w:rFonts w:asciiTheme="minorHAnsi" w:hAnsiTheme="minorHAnsi" w:cs="Times New Roman"/>
                <w:color w:val="00B050"/>
                <w:lang w:val="en-US" w:eastAsia="en-US"/>
              </w:rPr>
            </w:pPr>
            <w:r w:rsidRPr="00C52236">
              <w:rPr>
                <w:rFonts w:cs="Arial"/>
                <w:color w:val="00B050"/>
                <w:lang w:eastAsia="en-US"/>
              </w:rPr>
              <w:t>▼</w:t>
            </w:r>
            <w:r w:rsidR="00DF1855">
              <w:rPr>
                <w:rFonts w:asciiTheme="minorHAnsi" w:hAnsiTheme="minorHAnsi" w:cs="Times New Roman"/>
                <w:color w:val="00B050"/>
                <w:lang w:eastAsia="en-US"/>
              </w:rPr>
              <w:t>5,9%</w:t>
            </w:r>
          </w:p>
        </w:tc>
        <w:tc>
          <w:tcPr>
            <w:tcW w:w="1304" w:type="dxa"/>
            <w:vAlign w:val="center"/>
          </w:tcPr>
          <w:p w14:paraId="17255C59" w14:textId="77777777" w:rsidR="00C52236" w:rsidRPr="00C52236" w:rsidRDefault="00C52236" w:rsidP="00C52236">
            <w:pPr>
              <w:keepNext/>
              <w:spacing w:before="60" w:after="60"/>
              <w:jc w:val="center"/>
              <w:rPr>
                <w:rFonts w:asciiTheme="minorHAnsi" w:hAnsiTheme="minorHAnsi" w:cs="Times New Roman"/>
                <w:color w:val="00B050"/>
                <w:lang w:val="en-US" w:eastAsia="en-US"/>
              </w:rPr>
            </w:pPr>
            <w:r w:rsidRPr="00C52236">
              <w:rPr>
                <w:rFonts w:cs="Arial"/>
                <w:color w:val="00B050"/>
                <w:lang w:eastAsia="en-US"/>
              </w:rPr>
              <w:t>▼</w:t>
            </w:r>
            <w:r w:rsidR="00DF1855">
              <w:rPr>
                <w:rFonts w:asciiTheme="minorHAnsi" w:hAnsiTheme="minorHAnsi" w:cs="Times New Roman"/>
                <w:color w:val="00B050"/>
                <w:lang w:eastAsia="en-US"/>
              </w:rPr>
              <w:t>6,8%</w:t>
            </w:r>
          </w:p>
        </w:tc>
      </w:tr>
      <w:tr w:rsidR="00C52236" w:rsidRPr="00C52236" w14:paraId="260A5003" w14:textId="77777777" w:rsidTr="007779CB">
        <w:trPr>
          <w:jc w:val="center"/>
        </w:trPr>
        <w:tc>
          <w:tcPr>
            <w:tcW w:w="3267" w:type="dxa"/>
            <w:tcBorders>
              <w:right w:val="single" w:sz="18" w:space="0" w:color="auto"/>
            </w:tcBorders>
          </w:tcPr>
          <w:p w14:paraId="3A31EA17" w14:textId="77777777" w:rsidR="00C52236" w:rsidRPr="00C52236" w:rsidRDefault="001C2684" w:rsidP="00C52236">
            <w:pPr>
              <w:spacing w:before="60" w:after="60"/>
              <w:rPr>
                <w:rFonts w:asciiTheme="minorHAnsi" w:hAnsiTheme="minorHAnsi" w:cs="Times New Roman"/>
                <w:b/>
                <w:lang w:val="en-US" w:eastAsia="en-US"/>
              </w:rPr>
            </w:pPr>
            <w:r>
              <w:rPr>
                <w:rFonts w:asciiTheme="minorHAnsi" w:hAnsiTheme="minorHAnsi" w:cs="Times New Roman"/>
                <w:b/>
                <w:lang w:val="en-US" w:eastAsia="en-US"/>
              </w:rPr>
              <w:t>Payback</w:t>
            </w:r>
          </w:p>
        </w:tc>
        <w:tc>
          <w:tcPr>
            <w:tcW w:w="1522" w:type="dxa"/>
            <w:tcBorders>
              <w:left w:val="single" w:sz="18" w:space="0" w:color="auto"/>
            </w:tcBorders>
            <w:vAlign w:val="center"/>
          </w:tcPr>
          <w:p w14:paraId="27EE4CB3" w14:textId="77777777" w:rsidR="00C52236" w:rsidRPr="00C52236" w:rsidRDefault="00C52236" w:rsidP="00C52236">
            <w:pPr>
              <w:spacing w:before="60" w:after="60"/>
              <w:jc w:val="center"/>
              <w:rPr>
                <w:rFonts w:asciiTheme="minorHAnsi" w:hAnsiTheme="minorHAnsi" w:cs="Times New Roman"/>
                <w:lang w:val="en-US" w:eastAsia="en-US"/>
              </w:rPr>
            </w:pPr>
            <w:r w:rsidRPr="00C52236">
              <w:rPr>
                <w:rFonts w:asciiTheme="minorHAnsi" w:hAnsiTheme="minorHAnsi" w:cs="Times New Roman"/>
                <w:lang w:val="en-US" w:eastAsia="en-US"/>
              </w:rPr>
              <w:t>NA</w:t>
            </w:r>
          </w:p>
        </w:tc>
        <w:tc>
          <w:tcPr>
            <w:tcW w:w="1542" w:type="dxa"/>
            <w:vAlign w:val="center"/>
          </w:tcPr>
          <w:p w14:paraId="7C01286B" w14:textId="77777777" w:rsidR="00C52236" w:rsidRPr="00C52236" w:rsidRDefault="00C52236" w:rsidP="00C52236">
            <w:pPr>
              <w:spacing w:before="60" w:after="60"/>
              <w:jc w:val="center"/>
              <w:rPr>
                <w:rFonts w:asciiTheme="minorHAnsi" w:hAnsiTheme="minorHAnsi" w:cs="Times New Roman"/>
                <w:lang w:eastAsia="en-US"/>
              </w:rPr>
            </w:pPr>
            <w:r w:rsidRPr="00C52236">
              <w:rPr>
                <w:rFonts w:asciiTheme="minorHAnsi" w:hAnsiTheme="minorHAnsi" w:cs="Times New Roman"/>
                <w:lang w:eastAsia="en-US"/>
              </w:rPr>
              <w:t>NA</w:t>
            </w:r>
          </w:p>
        </w:tc>
        <w:tc>
          <w:tcPr>
            <w:tcW w:w="1401" w:type="dxa"/>
            <w:vAlign w:val="center"/>
          </w:tcPr>
          <w:p w14:paraId="53789651" w14:textId="77777777" w:rsidR="00C52236" w:rsidRPr="00C52236" w:rsidRDefault="00C52236" w:rsidP="00C52236">
            <w:pPr>
              <w:keepNext/>
              <w:spacing w:before="60" w:after="60"/>
              <w:jc w:val="center"/>
              <w:rPr>
                <w:rFonts w:asciiTheme="minorHAnsi" w:hAnsiTheme="minorHAnsi" w:cs="Times New Roman"/>
                <w:lang w:eastAsia="en-US"/>
              </w:rPr>
            </w:pPr>
            <w:r w:rsidRPr="00C52236">
              <w:rPr>
                <w:rFonts w:asciiTheme="minorHAnsi" w:hAnsiTheme="minorHAnsi" w:cs="Times New Roman"/>
                <w:lang w:eastAsia="en-US"/>
              </w:rPr>
              <w:t>13</w:t>
            </w:r>
            <w:r w:rsidRPr="00C52236">
              <w:rPr>
                <w:rFonts w:asciiTheme="minorHAnsi" w:hAnsiTheme="minorHAnsi" w:cs="Times New Roman"/>
                <w:vertAlign w:val="superscript"/>
                <w:lang w:eastAsia="en-US"/>
              </w:rPr>
              <w:t>th</w:t>
            </w:r>
            <w:r w:rsidRPr="00C52236">
              <w:rPr>
                <w:rFonts w:asciiTheme="minorHAnsi" w:hAnsiTheme="minorHAnsi" w:cs="Times New Roman"/>
                <w:lang w:eastAsia="en-US"/>
              </w:rPr>
              <w:t xml:space="preserve"> year</w:t>
            </w:r>
          </w:p>
        </w:tc>
        <w:tc>
          <w:tcPr>
            <w:tcW w:w="1304" w:type="dxa"/>
            <w:vAlign w:val="center"/>
          </w:tcPr>
          <w:p w14:paraId="542B8E98" w14:textId="77777777" w:rsidR="00C52236" w:rsidRPr="00C52236" w:rsidRDefault="00C52236" w:rsidP="00C52236">
            <w:pPr>
              <w:keepNext/>
              <w:spacing w:before="60" w:after="60"/>
              <w:jc w:val="center"/>
              <w:rPr>
                <w:rFonts w:asciiTheme="minorHAnsi" w:hAnsiTheme="minorHAnsi" w:cs="Times New Roman"/>
                <w:lang w:eastAsia="en-US"/>
              </w:rPr>
            </w:pPr>
            <w:r w:rsidRPr="00C52236">
              <w:rPr>
                <w:rFonts w:asciiTheme="minorHAnsi" w:hAnsiTheme="minorHAnsi" w:cs="Times New Roman"/>
                <w:lang w:eastAsia="en-US"/>
              </w:rPr>
              <w:t>11</w:t>
            </w:r>
            <w:r w:rsidRPr="00C52236">
              <w:rPr>
                <w:rFonts w:asciiTheme="minorHAnsi" w:hAnsiTheme="minorHAnsi" w:cs="Times New Roman"/>
                <w:vertAlign w:val="superscript"/>
                <w:lang w:eastAsia="en-US"/>
              </w:rPr>
              <w:t>th</w:t>
            </w:r>
            <w:r w:rsidRPr="00C52236">
              <w:rPr>
                <w:rFonts w:asciiTheme="minorHAnsi" w:hAnsiTheme="minorHAnsi" w:cs="Times New Roman"/>
                <w:lang w:eastAsia="en-US"/>
              </w:rPr>
              <w:t xml:space="preserve"> year</w:t>
            </w:r>
          </w:p>
        </w:tc>
      </w:tr>
    </w:tbl>
    <w:p w14:paraId="74AC410D" w14:textId="77777777" w:rsidR="00296FBA" w:rsidRDefault="00296FBA" w:rsidP="00296FBA">
      <w:pPr>
        <w:spacing w:after="120"/>
        <w:contextualSpacing/>
        <w:jc w:val="both"/>
        <w:rPr>
          <w:rFonts w:asciiTheme="minorHAnsi" w:eastAsia="Times New Roman" w:hAnsiTheme="minorHAnsi" w:cs="Times New Roman"/>
          <w:lang w:eastAsia="en-US"/>
        </w:rPr>
      </w:pPr>
    </w:p>
    <w:p w14:paraId="0F48983F" w14:textId="77777777" w:rsidR="00296FBA" w:rsidRDefault="00296FBA" w:rsidP="00296FBA">
      <w:pPr>
        <w:spacing w:after="120"/>
        <w:jc w:val="both"/>
        <w:rPr>
          <w:rFonts w:asciiTheme="minorHAnsi" w:eastAsia="Times New Roman" w:hAnsiTheme="minorHAnsi" w:cs="Times New Roman"/>
          <w:lang w:eastAsia="en-US"/>
        </w:rPr>
      </w:pPr>
      <w:r>
        <w:rPr>
          <w:rFonts w:asciiTheme="minorHAnsi" w:eastAsia="Times New Roman" w:hAnsiTheme="minorHAnsi" w:cs="Times New Roman"/>
          <w:lang w:eastAsia="en-US"/>
        </w:rPr>
        <w:t>In summary:</w:t>
      </w:r>
    </w:p>
    <w:p w14:paraId="6F055A90" w14:textId="3FB9D1C1" w:rsidR="00296FBA" w:rsidRDefault="001953C0" w:rsidP="00296FBA">
      <w:pPr>
        <w:pStyle w:val="ListParagraph"/>
        <w:numPr>
          <w:ilvl w:val="0"/>
          <w:numId w:val="30"/>
        </w:numPr>
        <w:spacing w:after="120"/>
        <w:contextualSpacing w:val="0"/>
        <w:jc w:val="both"/>
        <w:rPr>
          <w:rFonts w:asciiTheme="minorHAnsi" w:eastAsia="Times New Roman" w:hAnsiTheme="minorHAnsi" w:cs="Times New Roman"/>
          <w:lang w:eastAsia="en-US"/>
        </w:rPr>
      </w:pPr>
      <w:r>
        <w:rPr>
          <w:rFonts w:asciiTheme="minorHAnsi" w:eastAsia="Times New Roman" w:hAnsiTheme="minorHAnsi" w:cs="Times New Roman"/>
          <w:lang w:eastAsia="en-US"/>
        </w:rPr>
        <w:t xml:space="preserve">CAPEX-U: </w:t>
      </w:r>
      <w:r w:rsidR="00296FBA" w:rsidRPr="007237D1">
        <w:rPr>
          <w:rFonts w:asciiTheme="minorHAnsi" w:eastAsia="Times New Roman" w:hAnsiTheme="minorHAnsi" w:cs="Times New Roman"/>
          <w:lang w:eastAsia="en-US"/>
        </w:rPr>
        <w:t>CAPEX investment is shown as a percentage of the CAPEX for the reference scenario. The lowest investment is required by the “Decentralised</w:t>
      </w:r>
      <w:r w:rsidR="00296FBA">
        <w:rPr>
          <w:rFonts w:asciiTheme="minorHAnsi" w:eastAsia="Times New Roman" w:hAnsiTheme="minorHAnsi" w:cs="Times New Roman"/>
          <w:lang w:eastAsia="en-US"/>
        </w:rPr>
        <w:t xml:space="preserve"> EDAS</w:t>
      </w:r>
      <w:r w:rsidR="00296FBA" w:rsidRPr="007237D1">
        <w:rPr>
          <w:rFonts w:asciiTheme="minorHAnsi" w:eastAsia="Times New Roman" w:hAnsiTheme="minorHAnsi" w:cs="Times New Roman"/>
          <w:lang w:eastAsia="en-US"/>
        </w:rPr>
        <w:t>” architecture, while the highest corresponds to the “</w:t>
      </w:r>
      <w:r w:rsidR="00296FBA">
        <w:rPr>
          <w:rFonts w:asciiTheme="minorHAnsi" w:eastAsia="Times New Roman" w:hAnsiTheme="minorHAnsi" w:cs="Times New Roman"/>
          <w:lang w:eastAsia="en-US"/>
        </w:rPr>
        <w:t>Centralised</w:t>
      </w:r>
      <w:r w:rsidR="00296FBA" w:rsidRPr="007237D1">
        <w:rPr>
          <w:rFonts w:asciiTheme="minorHAnsi" w:eastAsia="Times New Roman" w:hAnsiTheme="minorHAnsi" w:cs="Times New Roman"/>
          <w:lang w:eastAsia="en-US"/>
        </w:rPr>
        <w:t xml:space="preserve"> EGNOS</w:t>
      </w:r>
      <w:r w:rsidR="00296FBA">
        <w:rPr>
          <w:rFonts w:asciiTheme="minorHAnsi" w:eastAsia="Times New Roman" w:hAnsiTheme="minorHAnsi" w:cs="Times New Roman"/>
          <w:lang w:eastAsia="en-US"/>
        </w:rPr>
        <w:t>-SIS</w:t>
      </w:r>
      <w:r w:rsidR="00296FBA" w:rsidRPr="007237D1">
        <w:rPr>
          <w:rFonts w:asciiTheme="minorHAnsi" w:eastAsia="Times New Roman" w:hAnsiTheme="minorHAnsi" w:cs="Times New Roman"/>
          <w:lang w:eastAsia="en-US"/>
        </w:rPr>
        <w:t xml:space="preserve">”. </w:t>
      </w:r>
    </w:p>
    <w:p w14:paraId="3B703090" w14:textId="436C6745" w:rsidR="0043746C" w:rsidRPr="00296FBA" w:rsidRDefault="001953C0" w:rsidP="0043746C">
      <w:pPr>
        <w:pStyle w:val="ListParagraph"/>
        <w:numPr>
          <w:ilvl w:val="0"/>
          <w:numId w:val="30"/>
        </w:numPr>
        <w:spacing w:after="120"/>
        <w:ind w:left="714" w:hanging="357"/>
        <w:contextualSpacing w:val="0"/>
        <w:jc w:val="both"/>
        <w:rPr>
          <w:rFonts w:asciiTheme="minorHAnsi" w:eastAsia="Times New Roman" w:hAnsiTheme="minorHAnsi" w:cs="Times New Roman"/>
          <w:lang w:eastAsia="en-US"/>
        </w:rPr>
      </w:pPr>
      <w:r>
        <w:rPr>
          <w:rFonts w:asciiTheme="minorHAnsi" w:eastAsia="Times New Roman" w:hAnsiTheme="minorHAnsi" w:cs="Times New Roman"/>
          <w:lang w:eastAsia="en-US"/>
        </w:rPr>
        <w:t xml:space="preserve">OPEX-D: </w:t>
      </w:r>
      <w:r w:rsidR="0043746C" w:rsidRPr="00296FBA">
        <w:rPr>
          <w:rFonts w:asciiTheme="minorHAnsi" w:eastAsia="Times New Roman" w:hAnsiTheme="minorHAnsi" w:cs="Times New Roman"/>
          <w:lang w:eastAsia="en-US"/>
        </w:rPr>
        <w:t>OPEX remains almost unchanged in the decentralised options.</w:t>
      </w:r>
      <w:r w:rsidR="0043746C">
        <w:rPr>
          <w:rFonts w:asciiTheme="minorHAnsi" w:eastAsia="Times New Roman" w:hAnsiTheme="minorHAnsi" w:cs="Times New Roman"/>
          <w:lang w:eastAsia="en-US"/>
        </w:rPr>
        <w:t xml:space="preserve"> As a consequence, t</w:t>
      </w:r>
      <w:r w:rsidR="0043746C" w:rsidRPr="00296FBA">
        <w:rPr>
          <w:rFonts w:asciiTheme="minorHAnsi" w:eastAsia="Times New Roman" w:hAnsiTheme="minorHAnsi" w:cs="Times New Roman"/>
          <w:lang w:eastAsia="en-US"/>
        </w:rPr>
        <w:t xml:space="preserve">he decentralised alternate scenarios entail an increase in the cumulative </w:t>
      </w:r>
      <w:r w:rsidR="0043746C">
        <w:rPr>
          <w:rFonts w:asciiTheme="minorHAnsi" w:eastAsia="Times New Roman" w:hAnsiTheme="minorHAnsi" w:cs="Times New Roman"/>
          <w:lang w:eastAsia="en-US"/>
        </w:rPr>
        <w:t xml:space="preserve">costs or a very slight decrease and </w:t>
      </w:r>
      <w:r w:rsidR="0043746C" w:rsidRPr="00296FBA">
        <w:rPr>
          <w:rFonts w:asciiTheme="minorHAnsi" w:eastAsia="Times New Roman" w:hAnsiTheme="minorHAnsi" w:cs="Times New Roman"/>
          <w:lang w:eastAsia="en-US"/>
        </w:rPr>
        <w:t>a return of the investment is not possible in these alternatives</w:t>
      </w:r>
      <w:r w:rsidR="0043746C">
        <w:rPr>
          <w:rFonts w:asciiTheme="minorHAnsi" w:eastAsia="Times New Roman" w:hAnsiTheme="minorHAnsi" w:cs="Times New Roman"/>
          <w:lang w:eastAsia="en-US"/>
        </w:rPr>
        <w:t xml:space="preserve"> (payback period Not Applicable)</w:t>
      </w:r>
      <w:r w:rsidR="0043746C" w:rsidRPr="00296FBA">
        <w:rPr>
          <w:rFonts w:asciiTheme="minorHAnsi" w:eastAsia="Times New Roman" w:hAnsiTheme="minorHAnsi" w:cs="Times New Roman"/>
          <w:lang w:eastAsia="en-US"/>
        </w:rPr>
        <w:t xml:space="preserve">. </w:t>
      </w:r>
    </w:p>
    <w:p w14:paraId="5A03CDAB" w14:textId="77777777" w:rsidR="005B3101" w:rsidRPr="00323620" w:rsidRDefault="00296FBA" w:rsidP="00296FBA">
      <w:pPr>
        <w:pStyle w:val="ListParagraph"/>
        <w:numPr>
          <w:ilvl w:val="0"/>
          <w:numId w:val="30"/>
        </w:numPr>
        <w:spacing w:after="120"/>
        <w:ind w:left="714" w:hanging="357"/>
        <w:contextualSpacing w:val="0"/>
        <w:jc w:val="both"/>
        <w:rPr>
          <w:rFonts w:asciiTheme="minorHAnsi" w:eastAsia="Times New Roman" w:hAnsiTheme="minorHAnsi" w:cs="Times New Roman"/>
          <w:lang w:eastAsia="en-US"/>
        </w:rPr>
      </w:pPr>
      <w:r w:rsidRPr="00323620">
        <w:rPr>
          <w:rFonts w:asciiTheme="minorHAnsi" w:eastAsia="Times New Roman" w:hAnsiTheme="minorHAnsi" w:cs="Times New Roman"/>
          <w:lang w:eastAsia="en-US"/>
        </w:rPr>
        <w:t xml:space="preserve">The centralised alternatives entail a yearly reduction in OPEX from 6% to almost 7% with regard to the OPEX of the reference scenario. </w:t>
      </w:r>
      <w:r w:rsidR="00323620" w:rsidRPr="00323620">
        <w:rPr>
          <w:rFonts w:asciiTheme="minorHAnsi" w:eastAsia="Times New Roman" w:hAnsiTheme="minorHAnsi" w:cs="Times New Roman"/>
          <w:lang w:eastAsia="en-US"/>
        </w:rPr>
        <w:t>As a consequence,</w:t>
      </w:r>
      <w:r w:rsidR="00323620">
        <w:rPr>
          <w:rFonts w:asciiTheme="minorHAnsi" w:eastAsia="Times New Roman" w:hAnsiTheme="minorHAnsi" w:cs="Times New Roman"/>
          <w:lang w:eastAsia="en-US"/>
        </w:rPr>
        <w:t xml:space="preserve"> t</w:t>
      </w:r>
      <w:r w:rsidR="005B3101" w:rsidRPr="00323620">
        <w:rPr>
          <w:rFonts w:asciiTheme="minorHAnsi" w:eastAsia="Times New Roman" w:hAnsiTheme="minorHAnsi" w:cs="Times New Roman"/>
          <w:lang w:eastAsia="en-US"/>
        </w:rPr>
        <w:t>he centralised alternate scenarios entail a d</w:t>
      </w:r>
      <w:r w:rsidR="00323620">
        <w:rPr>
          <w:rFonts w:asciiTheme="minorHAnsi" w:eastAsia="Times New Roman" w:hAnsiTheme="minorHAnsi" w:cs="Times New Roman"/>
          <w:lang w:eastAsia="en-US"/>
        </w:rPr>
        <w:t>ecrease in the cumulative costs and</w:t>
      </w:r>
      <w:r w:rsidR="005B3101" w:rsidRPr="00323620">
        <w:rPr>
          <w:rFonts w:asciiTheme="minorHAnsi" w:eastAsia="Times New Roman" w:hAnsiTheme="minorHAnsi" w:cs="Times New Roman"/>
          <w:lang w:eastAsia="en-US"/>
        </w:rPr>
        <w:t xml:space="preserve"> in both of them a return of the investment will happen. The </w:t>
      </w:r>
      <w:r w:rsidR="00DC6023">
        <w:rPr>
          <w:rFonts w:asciiTheme="minorHAnsi" w:eastAsia="Times New Roman" w:hAnsiTheme="minorHAnsi" w:cs="Times New Roman"/>
          <w:lang w:eastAsia="en-US"/>
        </w:rPr>
        <w:t>lowest</w:t>
      </w:r>
      <w:r w:rsidR="005B3101" w:rsidRPr="00323620">
        <w:rPr>
          <w:rFonts w:asciiTheme="minorHAnsi" w:eastAsia="Times New Roman" w:hAnsiTheme="minorHAnsi" w:cs="Times New Roman"/>
          <w:lang w:eastAsia="en-US"/>
        </w:rPr>
        <w:t xml:space="preserve"> </w:t>
      </w:r>
      <w:r w:rsidR="0052510B" w:rsidRPr="00323620">
        <w:rPr>
          <w:rFonts w:asciiTheme="minorHAnsi" w:eastAsia="Times New Roman" w:hAnsiTheme="minorHAnsi" w:cs="Times New Roman"/>
          <w:lang w:eastAsia="en-US"/>
        </w:rPr>
        <w:t>payback</w:t>
      </w:r>
      <w:r w:rsidR="005B3101" w:rsidRPr="00323620">
        <w:rPr>
          <w:rFonts w:asciiTheme="minorHAnsi" w:eastAsia="Times New Roman" w:hAnsiTheme="minorHAnsi" w:cs="Times New Roman"/>
          <w:lang w:eastAsia="en-US"/>
        </w:rPr>
        <w:t xml:space="preserve"> </w:t>
      </w:r>
      <w:r w:rsidR="00DC6023">
        <w:rPr>
          <w:rFonts w:asciiTheme="minorHAnsi" w:eastAsia="Times New Roman" w:hAnsiTheme="minorHAnsi" w:cs="Times New Roman"/>
          <w:lang w:eastAsia="en-US"/>
        </w:rPr>
        <w:t xml:space="preserve">period </w:t>
      </w:r>
      <w:r w:rsidR="005B3101" w:rsidRPr="00323620">
        <w:rPr>
          <w:rFonts w:asciiTheme="minorHAnsi" w:eastAsia="Times New Roman" w:hAnsiTheme="minorHAnsi" w:cs="Times New Roman"/>
          <w:lang w:eastAsia="en-US"/>
        </w:rPr>
        <w:t>happens in the “Centralised - EDAS” alternative</w:t>
      </w:r>
      <w:r w:rsidR="00323620">
        <w:rPr>
          <w:rFonts w:asciiTheme="minorHAnsi" w:eastAsia="Times New Roman" w:hAnsiTheme="minorHAnsi" w:cs="Times New Roman"/>
          <w:lang w:eastAsia="en-US"/>
        </w:rPr>
        <w:t>, after 11 years of operation</w:t>
      </w:r>
      <w:r w:rsidR="00DC6023">
        <w:rPr>
          <w:rFonts w:asciiTheme="minorHAnsi" w:eastAsia="Times New Roman" w:hAnsiTheme="minorHAnsi" w:cs="Times New Roman"/>
          <w:lang w:eastAsia="en-US"/>
        </w:rPr>
        <w:t>.</w:t>
      </w:r>
    </w:p>
    <w:p w14:paraId="5EF5EC4A" w14:textId="77777777" w:rsidR="00DF1855" w:rsidRDefault="00DF1855" w:rsidP="00DC6023">
      <w:pPr>
        <w:spacing w:after="120"/>
        <w:jc w:val="both"/>
        <w:rPr>
          <w:rFonts w:asciiTheme="minorHAnsi" w:eastAsia="Times New Roman" w:hAnsiTheme="minorHAnsi" w:cs="Times New Roman"/>
          <w:lang w:eastAsia="en-US"/>
        </w:rPr>
      </w:pPr>
      <w:r w:rsidRPr="00DF1855">
        <w:rPr>
          <w:rFonts w:asciiTheme="minorHAnsi" w:eastAsia="Times New Roman" w:hAnsiTheme="minorHAnsi" w:cs="Times New Roman"/>
          <w:lang w:eastAsia="en-US"/>
        </w:rPr>
        <w:t xml:space="preserve">Analysing the evolution of cumulative costs (CAPEX and OPEX) along a timeframe period of 5 years in a network with 20 AIS Base Stations and 4 DGNSS beacons, it can be observed that when an infrastructure upgrade is done to build the decentralised alternate scenarios, a return of the investment is not possible. On the contrary, when an infrastructure upgrade is done to build the centralised alternate scenarios, in both of them a return of the investment will happen. The earliest return of the investment happens in the “Centralised </w:t>
      </w:r>
      <w:r w:rsidRPr="00DF1855">
        <w:rPr>
          <w:rFonts w:asciiTheme="minorHAnsi" w:eastAsia="Times New Roman" w:hAnsiTheme="minorHAnsi" w:cs="Times New Roman"/>
          <w:lang w:eastAsia="en-US"/>
        </w:rPr>
        <w:lastRenderedPageBreak/>
        <w:t xml:space="preserve">- EDAS” alternative. Hence, this would be the most promising alternative in terms of costs, </w:t>
      </w:r>
      <w:r w:rsidR="00DC6023">
        <w:rPr>
          <w:rFonts w:asciiTheme="minorHAnsi" w:eastAsia="Times New Roman" w:hAnsiTheme="minorHAnsi" w:cs="Times New Roman"/>
          <w:lang w:eastAsia="en-US"/>
        </w:rPr>
        <w:t>in this situation (</w:t>
      </w:r>
      <w:r w:rsidR="00323620">
        <w:rPr>
          <w:rFonts w:asciiTheme="minorHAnsi" w:eastAsia="Times New Roman" w:hAnsiTheme="minorHAnsi" w:cs="Times New Roman"/>
          <w:lang w:eastAsia="en-US"/>
        </w:rPr>
        <w:t>AIS #1</w:t>
      </w:r>
      <w:r w:rsidR="00DC6023">
        <w:rPr>
          <w:rFonts w:asciiTheme="minorHAnsi" w:eastAsia="Times New Roman" w:hAnsiTheme="minorHAnsi" w:cs="Times New Roman"/>
          <w:lang w:eastAsia="en-US"/>
        </w:rPr>
        <w:t>)</w:t>
      </w:r>
      <w:r w:rsidRPr="00DF1855">
        <w:rPr>
          <w:rFonts w:asciiTheme="minorHAnsi" w:eastAsia="Times New Roman" w:hAnsiTheme="minorHAnsi" w:cs="Times New Roman"/>
          <w:lang w:eastAsia="en-US"/>
        </w:rPr>
        <w:t>.</w:t>
      </w:r>
    </w:p>
    <w:p w14:paraId="1B76C48D" w14:textId="77777777" w:rsidR="00DF1855" w:rsidRPr="005B3101" w:rsidRDefault="00DF1855" w:rsidP="00DF1855">
      <w:pPr>
        <w:spacing w:after="120"/>
        <w:ind w:left="720"/>
        <w:contextualSpacing/>
        <w:jc w:val="both"/>
        <w:rPr>
          <w:rFonts w:asciiTheme="minorHAnsi" w:eastAsia="Times New Roman" w:hAnsiTheme="minorHAnsi" w:cs="Times New Roman"/>
          <w:lang w:eastAsia="en-US"/>
        </w:rPr>
      </w:pPr>
    </w:p>
    <w:p w14:paraId="365F1DC1" w14:textId="77777777" w:rsidR="00CF033B" w:rsidRPr="00CF033B" w:rsidRDefault="00CF033B" w:rsidP="00CF033B">
      <w:pPr>
        <w:pStyle w:val="AnnexHeading1"/>
        <w:keepNext/>
        <w:numPr>
          <w:ilvl w:val="2"/>
          <w:numId w:val="16"/>
        </w:numPr>
      </w:pPr>
      <w:r>
        <w:t>New infrastructure</w:t>
      </w:r>
      <w:r w:rsidR="00DC6023">
        <w:t xml:space="preserve"> – AIS #2</w:t>
      </w:r>
    </w:p>
    <w:p w14:paraId="7A05485B" w14:textId="77777777" w:rsidR="00CF033B" w:rsidRPr="00C52236" w:rsidRDefault="0078157A" w:rsidP="00CF033B">
      <w:pPr>
        <w:spacing w:after="120"/>
        <w:jc w:val="both"/>
        <w:rPr>
          <w:rFonts w:asciiTheme="minorHAnsi" w:eastAsia="Times New Roman" w:hAnsiTheme="minorHAnsi" w:cs="Times New Roman"/>
          <w:lang w:eastAsia="en-US"/>
        </w:rPr>
      </w:pPr>
      <w:r w:rsidRPr="0078157A">
        <w:rPr>
          <w:rFonts w:asciiTheme="minorHAnsi" w:eastAsia="Times New Roman" w:hAnsiTheme="minorHAnsi" w:cs="Times New Roman"/>
          <w:lang w:eastAsia="en-US"/>
        </w:rPr>
        <w:t>This analysis is focused in the cost comparison between the deployment of a decentralised infrastructure of IALA DGNSS stations to feed the AIS Base Stations (1 IALA beacon each 5 AIS base stations) and the deployment of a centralised alternative based on EGNOS, without IALA DGNSS stations. In this situation a CAPEX investment is needed to implement MT17 in both, the reference scenario and the EGNOS-based alternatives. The required CAPEX investment is directly related with the number of AIS stations and higher in the reference scenario than in the centralised options.</w:t>
      </w:r>
    </w:p>
    <w:p w14:paraId="37B5C3B2" w14:textId="77777777" w:rsidR="00CF033B" w:rsidRPr="00C52236" w:rsidRDefault="00CF033B" w:rsidP="00CF033B">
      <w:pPr>
        <w:spacing w:after="120"/>
        <w:jc w:val="both"/>
        <w:rPr>
          <w:rFonts w:asciiTheme="minorHAnsi" w:eastAsia="Times New Roman" w:hAnsiTheme="minorHAnsi" w:cs="Times New Roman"/>
          <w:lang w:eastAsia="en-US"/>
        </w:rPr>
      </w:pPr>
      <w:bookmarkStart w:id="18" w:name="_Ref454897980"/>
      <w:bookmarkStart w:id="19" w:name="_Toc467485849"/>
      <w:r w:rsidRPr="00C52236">
        <w:rPr>
          <w:rFonts w:asciiTheme="minorHAnsi" w:eastAsia="Times New Roman" w:hAnsiTheme="minorHAnsi" w:cs="Times New Roman"/>
          <w:lang w:eastAsia="en-US"/>
        </w:rPr>
        <w:t xml:space="preserve">In regards to the evolution of the operational expenditures in the alternate scenarios compared with the reference scenario, they decrease as the number of onsite equipment is reduced; that is in the centralised architectures, even taking into account the upgrades of the contract with the ISP. </w:t>
      </w:r>
    </w:p>
    <w:bookmarkEnd w:id="18"/>
    <w:bookmarkEnd w:id="19"/>
    <w:p w14:paraId="53214839" w14:textId="77777777" w:rsidR="00DC6023" w:rsidRDefault="00C52236" w:rsidP="00C52236">
      <w:pPr>
        <w:spacing w:after="120"/>
        <w:jc w:val="both"/>
        <w:rPr>
          <w:rFonts w:asciiTheme="minorHAnsi" w:eastAsia="Times New Roman" w:hAnsiTheme="minorHAnsi" w:cs="Times New Roman"/>
          <w:lang w:eastAsia="en-US"/>
        </w:rPr>
      </w:pPr>
      <w:r w:rsidRPr="00C52236">
        <w:rPr>
          <w:rFonts w:asciiTheme="minorHAnsi" w:eastAsia="Times New Roman" w:hAnsiTheme="minorHAnsi" w:cs="Times New Roman"/>
          <w:lang w:eastAsia="en-US"/>
        </w:rPr>
        <w:t>The following table summarises the costs results in a large size deployment, if referred to inland waters, or a medium-small size deployment, if referred to coastal AIS. This case analyses the deployment of a new infrastru</w:t>
      </w:r>
      <w:r w:rsidR="00CF033B">
        <w:rPr>
          <w:rFonts w:asciiTheme="minorHAnsi" w:eastAsia="Times New Roman" w:hAnsiTheme="minorHAnsi" w:cs="Times New Roman"/>
          <w:lang w:eastAsia="en-US"/>
        </w:rPr>
        <w:t>cture with 20 AIS base stations.</w:t>
      </w:r>
    </w:p>
    <w:p w14:paraId="3EDC9444" w14:textId="77777777" w:rsidR="00FF296E" w:rsidRPr="00FF296E" w:rsidRDefault="00FF296E" w:rsidP="007237D1">
      <w:pPr>
        <w:pStyle w:val="Table"/>
        <w:numPr>
          <w:ilvl w:val="0"/>
          <w:numId w:val="35"/>
        </w:numPr>
        <w:rPr>
          <w:rFonts w:asciiTheme="minorHAnsi" w:hAnsiTheme="minorHAnsi"/>
        </w:rPr>
      </w:pPr>
      <w:bookmarkStart w:id="20" w:name="_Ref475375529"/>
      <w:r w:rsidRPr="00C52236">
        <w:rPr>
          <w:rFonts w:asciiTheme="minorHAnsi" w:eastAsia="Times New Roman" w:hAnsiTheme="minorHAnsi" w:cs="Times New Roman"/>
          <w:lang w:eastAsia="en-US"/>
        </w:rPr>
        <w:t xml:space="preserve">Costs </w:t>
      </w:r>
      <w:r w:rsidR="00DC6023">
        <w:rPr>
          <w:rFonts w:asciiTheme="minorHAnsi" w:eastAsia="Times New Roman" w:hAnsiTheme="minorHAnsi" w:cs="Times New Roman"/>
          <w:lang w:eastAsia="en-US"/>
        </w:rPr>
        <w:t>variation</w:t>
      </w:r>
      <w:r w:rsidRPr="00C52236">
        <w:rPr>
          <w:rFonts w:asciiTheme="minorHAnsi" w:eastAsia="Times New Roman" w:hAnsiTheme="minorHAnsi" w:cs="Times New Roman"/>
          <w:lang w:eastAsia="en-US"/>
        </w:rPr>
        <w:t xml:space="preserve"> – 20 stations – New infrastructure</w:t>
      </w:r>
      <w:bookmarkEnd w:id="20"/>
    </w:p>
    <w:tbl>
      <w:tblPr>
        <w:tblStyle w:val="TableGrid4"/>
        <w:tblW w:w="0" w:type="auto"/>
        <w:jc w:val="center"/>
        <w:tblLook w:val="04A0" w:firstRow="1" w:lastRow="0" w:firstColumn="1" w:lastColumn="0" w:noHBand="0" w:noVBand="1"/>
      </w:tblPr>
      <w:tblGrid>
        <w:gridCol w:w="2552"/>
        <w:gridCol w:w="1984"/>
        <w:gridCol w:w="1729"/>
      </w:tblGrid>
      <w:tr w:rsidR="005860F6" w:rsidRPr="00C52236" w14:paraId="7A01CC2B" w14:textId="77777777" w:rsidTr="001953C0">
        <w:trPr>
          <w:jc w:val="center"/>
        </w:trPr>
        <w:tc>
          <w:tcPr>
            <w:tcW w:w="2552" w:type="dxa"/>
            <w:tcBorders>
              <w:top w:val="single" w:sz="4" w:space="0" w:color="auto"/>
              <w:left w:val="single" w:sz="4" w:space="0" w:color="auto"/>
            </w:tcBorders>
          </w:tcPr>
          <w:p w14:paraId="2F30BB36" w14:textId="77777777" w:rsidR="005860F6" w:rsidRPr="00C52236" w:rsidRDefault="005860F6" w:rsidP="00C52236">
            <w:pPr>
              <w:spacing w:before="60" w:after="60"/>
              <w:ind w:left="360"/>
              <w:jc w:val="center"/>
              <w:rPr>
                <w:rFonts w:asciiTheme="minorHAnsi" w:hAnsiTheme="minorHAnsi" w:cs="Times New Roman"/>
                <w:b/>
                <w:lang w:val="en-US" w:eastAsia="en-US"/>
              </w:rPr>
            </w:pPr>
            <w:r w:rsidRPr="00C52236">
              <w:rPr>
                <w:rFonts w:asciiTheme="minorHAnsi" w:hAnsiTheme="minorHAnsi" w:cs="Times New Roman"/>
                <w:b/>
                <w:lang w:val="en-US" w:eastAsia="en-US"/>
              </w:rPr>
              <w:t>20 stations</w:t>
            </w:r>
          </w:p>
          <w:p w14:paraId="7B8ADD88" w14:textId="77777777" w:rsidR="005860F6" w:rsidRPr="00C52236" w:rsidRDefault="005860F6" w:rsidP="00C52236">
            <w:pPr>
              <w:spacing w:before="60" w:after="60"/>
              <w:ind w:left="360"/>
              <w:jc w:val="center"/>
              <w:rPr>
                <w:rFonts w:asciiTheme="minorHAnsi" w:hAnsiTheme="minorHAnsi" w:cs="Times New Roman"/>
                <w:b/>
                <w:lang w:val="en-US" w:eastAsia="en-US"/>
              </w:rPr>
            </w:pPr>
            <w:r w:rsidRPr="00C52236">
              <w:rPr>
                <w:rFonts w:asciiTheme="minorHAnsi" w:hAnsiTheme="minorHAnsi" w:cs="Times New Roman"/>
                <w:b/>
                <w:lang w:val="en-US" w:eastAsia="en-US"/>
              </w:rPr>
              <w:t>New infrastructure</w:t>
            </w:r>
          </w:p>
        </w:tc>
        <w:tc>
          <w:tcPr>
            <w:tcW w:w="1984" w:type="dxa"/>
            <w:vAlign w:val="center"/>
          </w:tcPr>
          <w:p w14:paraId="19619F39" w14:textId="77777777" w:rsidR="005860F6" w:rsidRPr="00C52236" w:rsidRDefault="005860F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Centralised</w:t>
            </w:r>
          </w:p>
          <w:p w14:paraId="51260813" w14:textId="77777777" w:rsidR="005860F6" w:rsidRPr="00C52236" w:rsidRDefault="005860F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EGNOS-SIS</w:t>
            </w:r>
          </w:p>
        </w:tc>
        <w:tc>
          <w:tcPr>
            <w:tcW w:w="1729" w:type="dxa"/>
            <w:vAlign w:val="center"/>
          </w:tcPr>
          <w:p w14:paraId="3B10ADD9" w14:textId="77777777" w:rsidR="005860F6" w:rsidRPr="00C52236" w:rsidRDefault="005860F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Centralised</w:t>
            </w:r>
          </w:p>
          <w:p w14:paraId="09EA3BB9" w14:textId="77777777" w:rsidR="005860F6" w:rsidRPr="00C52236" w:rsidRDefault="005860F6" w:rsidP="00C52236">
            <w:pPr>
              <w:spacing w:before="60" w:after="60"/>
              <w:jc w:val="center"/>
              <w:rPr>
                <w:rFonts w:asciiTheme="minorHAnsi" w:hAnsiTheme="minorHAnsi" w:cs="Times New Roman"/>
                <w:b/>
                <w:lang w:val="en-US" w:eastAsia="en-US"/>
              </w:rPr>
            </w:pPr>
            <w:r w:rsidRPr="00C52236">
              <w:rPr>
                <w:rFonts w:asciiTheme="minorHAnsi" w:hAnsiTheme="minorHAnsi" w:cs="Times New Roman"/>
                <w:b/>
                <w:lang w:val="en-US" w:eastAsia="en-US"/>
              </w:rPr>
              <w:t>EDAS</w:t>
            </w:r>
          </w:p>
        </w:tc>
      </w:tr>
      <w:tr w:rsidR="005860F6" w:rsidRPr="00C52236" w14:paraId="42D45614" w14:textId="77777777" w:rsidTr="001953C0">
        <w:trPr>
          <w:jc w:val="center"/>
        </w:trPr>
        <w:tc>
          <w:tcPr>
            <w:tcW w:w="2552" w:type="dxa"/>
            <w:vAlign w:val="center"/>
          </w:tcPr>
          <w:p w14:paraId="32029505" w14:textId="30C292EA" w:rsidR="005860F6" w:rsidRPr="00C52236" w:rsidRDefault="005860F6" w:rsidP="00C52236">
            <w:pPr>
              <w:spacing w:before="60" w:after="60"/>
              <w:rPr>
                <w:rFonts w:asciiTheme="minorHAnsi" w:hAnsiTheme="minorHAnsi" w:cs="Times New Roman"/>
                <w:b/>
                <w:lang w:val="en-US" w:eastAsia="en-US"/>
              </w:rPr>
            </w:pPr>
            <w:r w:rsidRPr="00C52236">
              <w:rPr>
                <w:rFonts w:asciiTheme="minorHAnsi" w:hAnsiTheme="minorHAnsi" w:cs="Times New Roman"/>
                <w:b/>
                <w:lang w:val="en-US" w:eastAsia="en-US"/>
              </w:rPr>
              <w:t>CAPEX</w:t>
            </w:r>
            <w:r w:rsidR="001953C0">
              <w:rPr>
                <w:rFonts w:asciiTheme="minorHAnsi" w:hAnsiTheme="minorHAnsi" w:cs="Times New Roman"/>
                <w:b/>
                <w:lang w:val="en-US" w:eastAsia="en-US"/>
              </w:rPr>
              <w:t>-D</w:t>
            </w:r>
          </w:p>
        </w:tc>
        <w:tc>
          <w:tcPr>
            <w:tcW w:w="1984" w:type="dxa"/>
            <w:vAlign w:val="center"/>
          </w:tcPr>
          <w:p w14:paraId="281B9CFC" w14:textId="77777777" w:rsidR="005860F6" w:rsidRPr="00C52236" w:rsidRDefault="005860F6" w:rsidP="00C52236">
            <w:pPr>
              <w:spacing w:before="60" w:after="60"/>
              <w:jc w:val="center"/>
              <w:rPr>
                <w:rFonts w:asciiTheme="minorHAnsi" w:hAnsiTheme="minorHAnsi" w:cs="Times New Roman"/>
                <w:lang w:val="en-US" w:eastAsia="en-US"/>
              </w:rPr>
            </w:pPr>
            <w:r w:rsidRPr="00C52236">
              <w:rPr>
                <w:rFonts w:cs="Arial"/>
                <w:color w:val="00B050"/>
                <w:lang w:eastAsia="en-US"/>
              </w:rPr>
              <w:t>▼</w:t>
            </w:r>
            <w:r w:rsidRPr="005860F6">
              <w:rPr>
                <w:rFonts w:asciiTheme="minorHAnsi" w:hAnsiTheme="minorHAnsi" w:cs="Times New Roman"/>
                <w:color w:val="00B050"/>
                <w:lang w:val="en-US" w:eastAsia="en-US"/>
              </w:rPr>
              <w:t>36,9%</w:t>
            </w:r>
          </w:p>
        </w:tc>
        <w:tc>
          <w:tcPr>
            <w:tcW w:w="1729" w:type="dxa"/>
            <w:vAlign w:val="center"/>
          </w:tcPr>
          <w:p w14:paraId="466243EB" w14:textId="77777777" w:rsidR="005860F6" w:rsidRPr="00C52236" w:rsidRDefault="005860F6" w:rsidP="00C52236">
            <w:pPr>
              <w:spacing w:before="60" w:after="60"/>
              <w:jc w:val="center"/>
              <w:rPr>
                <w:rFonts w:asciiTheme="minorHAnsi" w:hAnsiTheme="minorHAnsi" w:cs="Times New Roman"/>
                <w:lang w:val="en-US" w:eastAsia="en-US"/>
              </w:rPr>
            </w:pPr>
            <w:r w:rsidRPr="00C52236">
              <w:rPr>
                <w:rFonts w:cs="Arial"/>
                <w:color w:val="00B050"/>
                <w:lang w:eastAsia="en-US"/>
              </w:rPr>
              <w:t>▼</w:t>
            </w:r>
            <w:r w:rsidRPr="005860F6">
              <w:rPr>
                <w:rFonts w:asciiTheme="minorHAnsi" w:hAnsiTheme="minorHAnsi" w:cs="Times New Roman"/>
                <w:color w:val="00B050"/>
                <w:lang w:val="en-US" w:eastAsia="en-US"/>
              </w:rPr>
              <w:t>37,6%</w:t>
            </w:r>
          </w:p>
        </w:tc>
      </w:tr>
      <w:tr w:rsidR="005860F6" w:rsidRPr="00C52236" w14:paraId="135F857D" w14:textId="77777777" w:rsidTr="001953C0">
        <w:trPr>
          <w:jc w:val="center"/>
        </w:trPr>
        <w:tc>
          <w:tcPr>
            <w:tcW w:w="2552" w:type="dxa"/>
            <w:vAlign w:val="center"/>
          </w:tcPr>
          <w:p w14:paraId="66F71095" w14:textId="335DC93C" w:rsidR="005860F6" w:rsidRPr="00C52236" w:rsidRDefault="005860F6" w:rsidP="001953C0">
            <w:pPr>
              <w:spacing w:before="60" w:after="60"/>
              <w:rPr>
                <w:rFonts w:asciiTheme="minorHAnsi" w:hAnsiTheme="minorHAnsi" w:cs="Times New Roman"/>
                <w:b/>
                <w:lang w:val="en-US" w:eastAsia="en-US"/>
              </w:rPr>
            </w:pPr>
            <w:r w:rsidRPr="00C52236">
              <w:rPr>
                <w:rFonts w:asciiTheme="minorHAnsi" w:hAnsiTheme="minorHAnsi" w:cs="Times New Roman"/>
                <w:b/>
                <w:lang w:val="en-US" w:eastAsia="en-US"/>
              </w:rPr>
              <w:t>OPEX</w:t>
            </w:r>
            <w:r w:rsidR="001953C0">
              <w:rPr>
                <w:rFonts w:asciiTheme="minorHAnsi" w:hAnsiTheme="minorHAnsi" w:cs="Times New Roman"/>
                <w:b/>
                <w:lang w:val="en-US" w:eastAsia="en-US"/>
              </w:rPr>
              <w:t>-D</w:t>
            </w:r>
          </w:p>
        </w:tc>
        <w:tc>
          <w:tcPr>
            <w:tcW w:w="1984" w:type="dxa"/>
            <w:vAlign w:val="center"/>
          </w:tcPr>
          <w:p w14:paraId="2F4423BC" w14:textId="77777777" w:rsidR="005860F6" w:rsidRPr="005860F6" w:rsidRDefault="005860F6" w:rsidP="00C52236">
            <w:pPr>
              <w:spacing w:before="60" w:after="60"/>
              <w:jc w:val="center"/>
              <w:rPr>
                <w:rFonts w:asciiTheme="minorHAnsi" w:hAnsiTheme="minorHAnsi" w:cs="Times New Roman"/>
                <w:color w:val="00B050"/>
                <w:lang w:val="en-US" w:eastAsia="en-US"/>
              </w:rPr>
            </w:pPr>
            <w:r w:rsidRPr="00C52236">
              <w:rPr>
                <w:rFonts w:cs="Arial"/>
                <w:color w:val="00B050"/>
                <w:lang w:eastAsia="en-US"/>
              </w:rPr>
              <w:t>▼</w:t>
            </w:r>
            <w:r w:rsidRPr="005860F6">
              <w:rPr>
                <w:rFonts w:asciiTheme="minorHAnsi" w:hAnsiTheme="minorHAnsi" w:cs="Times New Roman"/>
                <w:color w:val="00B050"/>
                <w:lang w:val="en-US" w:eastAsia="en-US"/>
              </w:rPr>
              <w:t>8,9%</w:t>
            </w:r>
          </w:p>
        </w:tc>
        <w:tc>
          <w:tcPr>
            <w:tcW w:w="1729" w:type="dxa"/>
            <w:vAlign w:val="center"/>
          </w:tcPr>
          <w:p w14:paraId="641BA395" w14:textId="77777777" w:rsidR="005860F6" w:rsidRPr="00C52236" w:rsidRDefault="005860F6" w:rsidP="00C52236">
            <w:pPr>
              <w:spacing w:before="60" w:after="60"/>
              <w:jc w:val="center"/>
              <w:rPr>
                <w:rFonts w:asciiTheme="minorHAnsi" w:hAnsiTheme="minorHAnsi" w:cs="Times New Roman"/>
                <w:lang w:val="en-US" w:eastAsia="en-US"/>
              </w:rPr>
            </w:pPr>
            <w:r w:rsidRPr="00C52236">
              <w:rPr>
                <w:rFonts w:cs="Arial"/>
                <w:color w:val="00B050"/>
                <w:lang w:eastAsia="en-US"/>
              </w:rPr>
              <w:t>▼</w:t>
            </w:r>
            <w:r w:rsidRPr="005860F6">
              <w:rPr>
                <w:rFonts w:asciiTheme="minorHAnsi" w:hAnsiTheme="minorHAnsi" w:cs="Times New Roman"/>
                <w:color w:val="00B050"/>
                <w:lang w:val="en-US" w:eastAsia="en-US"/>
              </w:rPr>
              <w:t>9,7%</w:t>
            </w:r>
          </w:p>
        </w:tc>
      </w:tr>
    </w:tbl>
    <w:p w14:paraId="5290D7A3" w14:textId="77777777" w:rsidR="00DC6023" w:rsidRDefault="00DC6023" w:rsidP="00DC6023">
      <w:pPr>
        <w:spacing w:after="120"/>
        <w:jc w:val="both"/>
        <w:rPr>
          <w:rFonts w:asciiTheme="minorHAnsi" w:eastAsia="Times New Roman" w:hAnsiTheme="minorHAnsi" w:cs="Times New Roman"/>
          <w:lang w:eastAsia="en-US"/>
        </w:rPr>
      </w:pPr>
    </w:p>
    <w:p w14:paraId="19AD7025" w14:textId="77777777" w:rsidR="005860F6" w:rsidRDefault="005860F6" w:rsidP="00DC6023">
      <w:pPr>
        <w:spacing w:after="120"/>
        <w:jc w:val="both"/>
        <w:rPr>
          <w:rFonts w:asciiTheme="minorHAnsi" w:eastAsia="Times New Roman" w:hAnsiTheme="minorHAnsi" w:cs="Times New Roman"/>
          <w:lang w:eastAsia="en-US"/>
        </w:rPr>
      </w:pPr>
      <w:r>
        <w:rPr>
          <w:rFonts w:asciiTheme="minorHAnsi" w:eastAsia="Times New Roman" w:hAnsiTheme="minorHAnsi" w:cs="Times New Roman"/>
          <w:lang w:eastAsia="en-US"/>
        </w:rPr>
        <w:t>In summary:</w:t>
      </w:r>
    </w:p>
    <w:p w14:paraId="2DB3EC72" w14:textId="77777777" w:rsidR="005860F6" w:rsidRDefault="005860F6" w:rsidP="005860F6">
      <w:pPr>
        <w:pStyle w:val="ListParagraph"/>
        <w:numPr>
          <w:ilvl w:val="0"/>
          <w:numId w:val="37"/>
        </w:numPr>
        <w:spacing w:after="120"/>
        <w:contextualSpacing w:val="0"/>
        <w:jc w:val="both"/>
        <w:rPr>
          <w:rFonts w:asciiTheme="minorHAnsi" w:eastAsia="Times New Roman" w:hAnsiTheme="minorHAnsi" w:cs="Times New Roman"/>
          <w:lang w:eastAsia="en-US"/>
        </w:rPr>
      </w:pPr>
      <w:r w:rsidRPr="00D45051">
        <w:rPr>
          <w:rFonts w:asciiTheme="minorHAnsi" w:eastAsia="Times New Roman" w:hAnsiTheme="minorHAnsi" w:cs="Times New Roman"/>
          <w:lang w:eastAsia="en-US"/>
        </w:rPr>
        <w:t xml:space="preserve">The EGNOS-based alternatives entail a reduction in CAPEX from </w:t>
      </w:r>
      <w:r>
        <w:rPr>
          <w:rFonts w:asciiTheme="minorHAnsi" w:eastAsia="Times New Roman" w:hAnsiTheme="minorHAnsi" w:cs="Times New Roman"/>
          <w:lang w:eastAsia="en-US"/>
        </w:rPr>
        <w:t>36,9</w:t>
      </w:r>
      <w:r w:rsidRPr="00D45051">
        <w:rPr>
          <w:rFonts w:asciiTheme="minorHAnsi" w:eastAsia="Times New Roman" w:hAnsiTheme="minorHAnsi" w:cs="Times New Roman"/>
          <w:lang w:eastAsia="en-US"/>
        </w:rPr>
        <w:t xml:space="preserve">% to </w:t>
      </w:r>
      <w:r>
        <w:rPr>
          <w:rFonts w:asciiTheme="minorHAnsi" w:eastAsia="Times New Roman" w:hAnsiTheme="minorHAnsi" w:cs="Times New Roman"/>
          <w:lang w:eastAsia="en-US"/>
        </w:rPr>
        <w:t>37,6</w:t>
      </w:r>
      <w:r w:rsidRPr="00D45051">
        <w:rPr>
          <w:rFonts w:asciiTheme="minorHAnsi" w:eastAsia="Times New Roman" w:hAnsiTheme="minorHAnsi" w:cs="Times New Roman"/>
          <w:lang w:eastAsia="en-US"/>
        </w:rPr>
        <w:t xml:space="preserve">% with regard to the CAPEX of the reference scenario. </w:t>
      </w:r>
    </w:p>
    <w:p w14:paraId="6A82A34F" w14:textId="77777777" w:rsidR="005860F6" w:rsidRPr="005860F6" w:rsidRDefault="005860F6" w:rsidP="00DC6023">
      <w:pPr>
        <w:pStyle w:val="ListParagraph"/>
        <w:numPr>
          <w:ilvl w:val="0"/>
          <w:numId w:val="37"/>
        </w:numPr>
        <w:spacing w:after="120"/>
        <w:contextualSpacing w:val="0"/>
        <w:jc w:val="both"/>
        <w:rPr>
          <w:rFonts w:asciiTheme="minorHAnsi" w:eastAsia="Times New Roman" w:hAnsiTheme="minorHAnsi" w:cs="Times New Roman"/>
          <w:lang w:eastAsia="en-US"/>
        </w:rPr>
      </w:pPr>
      <w:r w:rsidRPr="00D45051">
        <w:rPr>
          <w:rFonts w:asciiTheme="minorHAnsi" w:eastAsia="Times New Roman" w:hAnsiTheme="minorHAnsi" w:cs="Times New Roman"/>
          <w:lang w:eastAsia="en-US"/>
        </w:rPr>
        <w:t xml:space="preserve">The EGNOS-based alternatives entail a yearly reduction in OPEX </w:t>
      </w:r>
      <w:r>
        <w:rPr>
          <w:rFonts w:asciiTheme="minorHAnsi" w:eastAsia="Times New Roman" w:hAnsiTheme="minorHAnsi" w:cs="Times New Roman"/>
          <w:lang w:eastAsia="en-US"/>
        </w:rPr>
        <w:t>from 9</w:t>
      </w:r>
      <w:r w:rsidRPr="00D45051">
        <w:rPr>
          <w:rFonts w:asciiTheme="minorHAnsi" w:eastAsia="Times New Roman" w:hAnsiTheme="minorHAnsi" w:cs="Times New Roman"/>
          <w:lang w:eastAsia="en-US"/>
        </w:rPr>
        <w:t>% to almost 1</w:t>
      </w:r>
      <w:r>
        <w:rPr>
          <w:rFonts w:asciiTheme="minorHAnsi" w:eastAsia="Times New Roman" w:hAnsiTheme="minorHAnsi" w:cs="Times New Roman"/>
          <w:lang w:eastAsia="en-US"/>
        </w:rPr>
        <w:t>0</w:t>
      </w:r>
      <w:r w:rsidRPr="00D45051">
        <w:rPr>
          <w:rFonts w:asciiTheme="minorHAnsi" w:eastAsia="Times New Roman" w:hAnsiTheme="minorHAnsi" w:cs="Times New Roman"/>
          <w:lang w:eastAsia="en-US"/>
        </w:rPr>
        <w:t xml:space="preserve">% with regard to the </w:t>
      </w:r>
      <w:r>
        <w:rPr>
          <w:rFonts w:asciiTheme="minorHAnsi" w:eastAsia="Times New Roman" w:hAnsiTheme="minorHAnsi" w:cs="Times New Roman"/>
          <w:lang w:eastAsia="en-US"/>
        </w:rPr>
        <w:t>OPEX</w:t>
      </w:r>
      <w:r w:rsidRPr="00D45051">
        <w:rPr>
          <w:rFonts w:asciiTheme="minorHAnsi" w:eastAsia="Times New Roman" w:hAnsiTheme="minorHAnsi" w:cs="Times New Roman"/>
          <w:lang w:eastAsia="en-US"/>
        </w:rPr>
        <w:t xml:space="preserve"> of the reference scenario.</w:t>
      </w:r>
    </w:p>
    <w:p w14:paraId="30BFFBFF" w14:textId="77777777" w:rsidR="00DC6023" w:rsidRDefault="00DC6023" w:rsidP="00DC6023">
      <w:pPr>
        <w:spacing w:after="120"/>
        <w:jc w:val="both"/>
        <w:rPr>
          <w:rFonts w:asciiTheme="minorHAnsi" w:eastAsia="Times New Roman" w:hAnsiTheme="minorHAnsi" w:cs="Times New Roman"/>
          <w:lang w:eastAsia="en-US"/>
        </w:rPr>
      </w:pPr>
      <w:r w:rsidRPr="00C52236">
        <w:rPr>
          <w:rFonts w:asciiTheme="minorHAnsi" w:eastAsia="Times New Roman" w:hAnsiTheme="minorHAnsi" w:cs="Times New Roman"/>
          <w:lang w:eastAsia="en-US"/>
        </w:rPr>
        <w:t>A completely new centralised option deployed for 20 AIS Base Stations is cheaper than the deploym</w:t>
      </w:r>
      <w:r>
        <w:rPr>
          <w:rFonts w:asciiTheme="minorHAnsi" w:eastAsia="Times New Roman" w:hAnsiTheme="minorHAnsi" w:cs="Times New Roman"/>
          <w:lang w:eastAsia="en-US"/>
        </w:rPr>
        <w:t>ent of the reference scenario</w:t>
      </w:r>
      <w:r w:rsidRPr="00C52236">
        <w:rPr>
          <w:rFonts w:asciiTheme="minorHAnsi" w:eastAsia="Times New Roman" w:hAnsiTheme="minorHAnsi" w:cs="Times New Roman"/>
          <w:lang w:eastAsia="en-US"/>
        </w:rPr>
        <w:t xml:space="preserve">. Besides, the decrease in OPEX leads to a growing profit result along the years. </w:t>
      </w:r>
      <w:r w:rsidR="0078157A">
        <w:rPr>
          <w:rFonts w:asciiTheme="minorHAnsi" w:eastAsia="Times New Roman" w:hAnsiTheme="minorHAnsi" w:cs="Times New Roman"/>
          <w:lang w:eastAsia="en-US"/>
        </w:rPr>
        <w:t xml:space="preserve">Both centralised alternatives yield similar savings, being the “Centralised EDAS” slightly better in terms of costs. </w:t>
      </w:r>
    </w:p>
    <w:p w14:paraId="0EB9F2C8" w14:textId="77777777" w:rsidR="00E96C6A" w:rsidRDefault="00E96C6A" w:rsidP="00DC6023">
      <w:pPr>
        <w:spacing w:after="120"/>
        <w:jc w:val="both"/>
        <w:rPr>
          <w:rFonts w:asciiTheme="minorHAnsi" w:eastAsia="Times New Roman" w:hAnsiTheme="minorHAnsi" w:cs="Times New Roman"/>
          <w:lang w:eastAsia="en-US"/>
        </w:rPr>
      </w:pPr>
    </w:p>
    <w:p w14:paraId="61B77BBD" w14:textId="5712FE7D" w:rsidR="00E96C6A" w:rsidRDefault="00E96C6A" w:rsidP="001F0A5D">
      <w:pPr>
        <w:pStyle w:val="AnnexHeading1"/>
      </w:pPr>
      <w:r w:rsidRPr="001F0A5D">
        <w:t>Conclusions</w:t>
      </w:r>
    </w:p>
    <w:p w14:paraId="271CD777" w14:textId="6BCB6F01" w:rsidR="001C74C1" w:rsidRPr="00B5514B" w:rsidRDefault="001C74C1" w:rsidP="001C74C1">
      <w:pPr>
        <w:spacing w:after="120"/>
        <w:jc w:val="both"/>
        <w:rPr>
          <w:rFonts w:asciiTheme="minorHAnsi" w:hAnsiTheme="minorHAnsi"/>
        </w:rPr>
      </w:pPr>
      <w:r w:rsidRPr="00B5514B">
        <w:rPr>
          <w:rFonts w:asciiTheme="minorHAnsi" w:hAnsiTheme="minorHAnsi"/>
        </w:rPr>
        <w:t>The performed analysis has taken into account the modifications to be made in the reference scenario in order to implement different alternatives</w:t>
      </w:r>
      <w:r>
        <w:rPr>
          <w:rFonts w:asciiTheme="minorHAnsi" w:hAnsiTheme="minorHAnsi"/>
        </w:rPr>
        <w:t xml:space="preserve"> based on EGNOS</w:t>
      </w:r>
      <w:r w:rsidRPr="00B5514B">
        <w:rPr>
          <w:rFonts w:asciiTheme="minorHAnsi" w:hAnsiTheme="minorHAnsi"/>
        </w:rPr>
        <w:t xml:space="preserve">, according to the trade-off analysis in the ENAV19-13.13 input paper </w:t>
      </w:r>
      <w:r w:rsidRPr="00B5514B">
        <w:rPr>
          <w:rFonts w:asciiTheme="minorHAnsi" w:hAnsiTheme="minorHAnsi"/>
        </w:rPr>
        <w:fldChar w:fldCharType="begin"/>
      </w:r>
      <w:r w:rsidRPr="00B5514B">
        <w:rPr>
          <w:rFonts w:asciiTheme="minorHAnsi" w:hAnsiTheme="minorHAnsi"/>
        </w:rPr>
        <w:instrText xml:space="preserve"> REF _Ref475008615 \r \h </w:instrText>
      </w:r>
      <w:r>
        <w:rPr>
          <w:rFonts w:asciiTheme="minorHAnsi" w:hAnsiTheme="minorHAnsi"/>
        </w:rPr>
        <w:instrText xml:space="preserve"> \* MERGEFORMAT </w:instrText>
      </w:r>
      <w:r w:rsidRPr="00B5514B">
        <w:rPr>
          <w:rFonts w:asciiTheme="minorHAnsi" w:hAnsiTheme="minorHAnsi"/>
        </w:rPr>
      </w:r>
      <w:r w:rsidRPr="00B5514B">
        <w:rPr>
          <w:rFonts w:asciiTheme="minorHAnsi" w:hAnsiTheme="minorHAnsi"/>
        </w:rPr>
        <w:fldChar w:fldCharType="separate"/>
      </w:r>
      <w:r w:rsidRPr="00B5514B">
        <w:rPr>
          <w:rFonts w:asciiTheme="minorHAnsi" w:hAnsiTheme="minorHAnsi"/>
        </w:rPr>
        <w:t>[1]</w:t>
      </w:r>
      <w:r w:rsidRPr="00B5514B">
        <w:rPr>
          <w:rFonts w:asciiTheme="minorHAnsi" w:hAnsiTheme="minorHAnsi"/>
        </w:rPr>
        <w:fldChar w:fldCharType="end"/>
      </w:r>
      <w:r w:rsidRPr="00B5514B">
        <w:rPr>
          <w:rFonts w:asciiTheme="minorHAnsi" w:hAnsiTheme="minorHAnsi"/>
        </w:rPr>
        <w:t>.</w:t>
      </w:r>
    </w:p>
    <w:p w14:paraId="11767E02" w14:textId="7AF2303E" w:rsidR="00FE4FAD" w:rsidRPr="001C74C1" w:rsidRDefault="001C74C1" w:rsidP="00FE4FAD">
      <w:pPr>
        <w:pStyle w:val="BodyText"/>
        <w:rPr>
          <w:b/>
        </w:rPr>
      </w:pPr>
      <w:r w:rsidRPr="001C74C1">
        <w:rPr>
          <w:b/>
        </w:rPr>
        <w:t xml:space="preserve">EGNOS over </w:t>
      </w:r>
      <w:r w:rsidR="00FE4FAD" w:rsidRPr="001C74C1">
        <w:rPr>
          <w:b/>
        </w:rPr>
        <w:t xml:space="preserve">IALA </w:t>
      </w:r>
      <w:r w:rsidRPr="001C74C1">
        <w:rPr>
          <w:b/>
        </w:rPr>
        <w:t>beacons</w:t>
      </w:r>
    </w:p>
    <w:p w14:paraId="6E4944F8" w14:textId="3980EF03" w:rsidR="00FE4FAD" w:rsidRDefault="00FE4FAD" w:rsidP="00FE4FAD">
      <w:pPr>
        <w:pStyle w:val="BodyText"/>
      </w:pPr>
      <w:r w:rsidRPr="00B5514B">
        <w:t>In terms of CAPEX, the “Redundant Fully EGNOS Based Solution” is the alternative requiring the highest upgrade investments. In addition, the “Hybrid Decentralised Architecture: Traditional DGNSS + SISNeT Based” requires lower investment than the “Hybrid Centralised Architecture: Trad</w:t>
      </w:r>
      <w:r>
        <w:t>itional DGNSS + EGNOS Based VRS</w:t>
      </w:r>
      <w:r w:rsidRPr="00B5514B">
        <w:t>” when the number of stations to be upgraded is less than 15.</w:t>
      </w:r>
    </w:p>
    <w:p w14:paraId="225E1537" w14:textId="35B46261" w:rsidR="00FE4FAD" w:rsidRDefault="00FE4FAD" w:rsidP="00FE4FAD">
      <w:pPr>
        <w:pStyle w:val="BodyText"/>
      </w:pPr>
      <w:r w:rsidRPr="001C74C1">
        <w:rPr>
          <w:u w:val="single"/>
        </w:rPr>
        <w:t xml:space="preserve">Infrastructure </w:t>
      </w:r>
      <w:r w:rsidR="001F3B18">
        <w:rPr>
          <w:u w:val="single"/>
        </w:rPr>
        <w:t>u</w:t>
      </w:r>
      <w:r w:rsidRPr="001C74C1">
        <w:rPr>
          <w:u w:val="single"/>
        </w:rPr>
        <w:t>pgrade (10 stations)</w:t>
      </w:r>
      <w:r>
        <w:t>:</w:t>
      </w:r>
    </w:p>
    <w:p w14:paraId="4C7D24D1" w14:textId="77777777" w:rsidR="00FE4FAD" w:rsidRDefault="00FE4FAD" w:rsidP="00FE4FAD">
      <w:pPr>
        <w:pStyle w:val="ListParagraph"/>
        <w:numPr>
          <w:ilvl w:val="0"/>
          <w:numId w:val="36"/>
        </w:numPr>
        <w:spacing w:after="120"/>
        <w:jc w:val="both"/>
        <w:rPr>
          <w:rFonts w:asciiTheme="minorHAnsi" w:eastAsia="Times New Roman" w:hAnsiTheme="minorHAnsi" w:cs="Times New Roman"/>
          <w:lang w:eastAsia="en-US"/>
        </w:rPr>
      </w:pPr>
      <w:r w:rsidRPr="00FE4FAD">
        <w:rPr>
          <w:rFonts w:asciiTheme="minorHAnsi" w:eastAsia="Times New Roman" w:hAnsiTheme="minorHAnsi" w:cs="Times New Roman"/>
          <w:lang w:eastAsia="en-US"/>
        </w:rPr>
        <w:t xml:space="preserve">In case that an infrastructure’s upgrade is possible, by reusing some parts of the current architecture, this analysis concludes that the most promising architecture in terms of costs is the “Hybrid </w:t>
      </w:r>
      <w:r w:rsidRPr="00FE4FAD">
        <w:rPr>
          <w:rFonts w:asciiTheme="minorHAnsi" w:eastAsia="Times New Roman" w:hAnsiTheme="minorHAnsi" w:cs="Times New Roman"/>
          <w:lang w:eastAsia="en-US"/>
        </w:rPr>
        <w:lastRenderedPageBreak/>
        <w:t>Centralised”. The payback would happen after three years of operation and the cumulative savings after 5 years of operation are higher than in the other alternatives.</w:t>
      </w:r>
    </w:p>
    <w:p w14:paraId="7C064B72" w14:textId="5ACA2847" w:rsidR="00FE4FAD" w:rsidRDefault="00FE4FAD" w:rsidP="00FE4FAD">
      <w:pPr>
        <w:spacing w:after="120"/>
        <w:jc w:val="both"/>
        <w:rPr>
          <w:rFonts w:asciiTheme="minorHAnsi" w:eastAsia="Times New Roman" w:hAnsiTheme="minorHAnsi" w:cs="Times New Roman"/>
          <w:lang w:eastAsia="en-US"/>
        </w:rPr>
      </w:pPr>
      <w:r w:rsidRPr="001C74C1">
        <w:rPr>
          <w:rFonts w:asciiTheme="minorHAnsi" w:eastAsia="Times New Roman" w:hAnsiTheme="minorHAnsi" w:cs="Times New Roman"/>
          <w:u w:val="single"/>
          <w:lang w:eastAsia="en-US"/>
        </w:rPr>
        <w:t>New infrastructure (10 stations)</w:t>
      </w:r>
      <w:r>
        <w:rPr>
          <w:rFonts w:asciiTheme="minorHAnsi" w:eastAsia="Times New Roman" w:hAnsiTheme="minorHAnsi" w:cs="Times New Roman"/>
          <w:lang w:eastAsia="en-US"/>
        </w:rPr>
        <w:t>:</w:t>
      </w:r>
    </w:p>
    <w:p w14:paraId="3700E880" w14:textId="71877E25" w:rsidR="00FE4FAD" w:rsidRDefault="00FE4FAD" w:rsidP="00FE4FAD">
      <w:pPr>
        <w:pStyle w:val="ListParagraph"/>
        <w:numPr>
          <w:ilvl w:val="0"/>
          <w:numId w:val="36"/>
        </w:numPr>
        <w:spacing w:after="120"/>
        <w:ind w:left="714" w:hanging="357"/>
        <w:contextualSpacing w:val="0"/>
        <w:jc w:val="both"/>
        <w:rPr>
          <w:rFonts w:asciiTheme="minorHAnsi" w:eastAsia="Times New Roman" w:hAnsiTheme="minorHAnsi" w:cs="Times New Roman"/>
          <w:lang w:eastAsia="en-US"/>
        </w:rPr>
      </w:pPr>
      <w:r w:rsidRPr="00FE4FAD">
        <w:rPr>
          <w:rFonts w:asciiTheme="minorHAnsi" w:eastAsia="Times New Roman" w:hAnsiTheme="minorHAnsi" w:cs="Times New Roman"/>
          <w:lang w:eastAsia="en-US"/>
        </w:rPr>
        <w:t>Taking as example the deployment based on 10 stations, this analysis concludes that the “Redundant fully EGNOS” alternative is the most cost-effective if compared with the deployment of the reference scenario, both of them built from scratch.</w:t>
      </w:r>
    </w:p>
    <w:p w14:paraId="6E863A5F" w14:textId="3831C3CC" w:rsidR="001C74C1" w:rsidRPr="001C74C1" w:rsidRDefault="001C74C1" w:rsidP="001C74C1">
      <w:pPr>
        <w:spacing w:after="120"/>
        <w:jc w:val="both"/>
        <w:rPr>
          <w:rFonts w:asciiTheme="minorHAnsi" w:eastAsia="Times New Roman" w:hAnsiTheme="minorHAnsi" w:cs="Times New Roman"/>
          <w:b/>
          <w:lang w:eastAsia="en-US"/>
        </w:rPr>
      </w:pPr>
      <w:r w:rsidRPr="001C74C1">
        <w:rPr>
          <w:rFonts w:asciiTheme="minorHAnsi" w:eastAsia="Times New Roman" w:hAnsiTheme="minorHAnsi" w:cs="Times New Roman"/>
          <w:b/>
          <w:lang w:eastAsia="en-US"/>
        </w:rPr>
        <w:t>EGNOS over AIS</w:t>
      </w:r>
    </w:p>
    <w:p w14:paraId="4938BE69" w14:textId="7950DE34" w:rsidR="001C74C1" w:rsidRPr="001C74C1" w:rsidRDefault="001C74C1" w:rsidP="001C74C1">
      <w:pPr>
        <w:spacing w:after="120"/>
        <w:jc w:val="both"/>
        <w:rPr>
          <w:rFonts w:asciiTheme="minorHAnsi" w:eastAsia="Times New Roman" w:hAnsiTheme="minorHAnsi" w:cs="Times New Roman"/>
          <w:lang w:eastAsia="en-US"/>
        </w:rPr>
      </w:pPr>
      <w:r w:rsidRPr="001F3B18">
        <w:rPr>
          <w:rFonts w:asciiTheme="minorHAnsi" w:eastAsia="Times New Roman" w:hAnsiTheme="minorHAnsi" w:cs="Times New Roman"/>
          <w:u w:val="single"/>
          <w:lang w:eastAsia="en-US"/>
        </w:rPr>
        <w:t xml:space="preserve">Infrastructure </w:t>
      </w:r>
      <w:r w:rsidR="001F3B18">
        <w:rPr>
          <w:rFonts w:asciiTheme="minorHAnsi" w:eastAsia="Times New Roman" w:hAnsiTheme="minorHAnsi" w:cs="Times New Roman"/>
          <w:u w:val="single"/>
          <w:lang w:eastAsia="en-US"/>
        </w:rPr>
        <w:t>u</w:t>
      </w:r>
      <w:r w:rsidRPr="001F3B18">
        <w:rPr>
          <w:rFonts w:asciiTheme="minorHAnsi" w:eastAsia="Times New Roman" w:hAnsiTheme="minorHAnsi" w:cs="Times New Roman"/>
          <w:u w:val="single"/>
          <w:lang w:eastAsia="en-US"/>
        </w:rPr>
        <w:t>pgrade (20 stations)</w:t>
      </w:r>
      <w:r w:rsidRPr="001C74C1">
        <w:rPr>
          <w:rFonts w:asciiTheme="minorHAnsi" w:eastAsia="Times New Roman" w:hAnsiTheme="minorHAnsi" w:cs="Times New Roman"/>
          <w:lang w:eastAsia="en-US"/>
        </w:rPr>
        <w:t>:</w:t>
      </w:r>
    </w:p>
    <w:p w14:paraId="305411DB" w14:textId="73D24B58" w:rsidR="001C74C1" w:rsidRDefault="001C74C1" w:rsidP="001C74C1">
      <w:pPr>
        <w:pStyle w:val="ListParagraph"/>
        <w:numPr>
          <w:ilvl w:val="0"/>
          <w:numId w:val="30"/>
        </w:numPr>
        <w:spacing w:after="120"/>
        <w:ind w:left="714" w:hanging="357"/>
        <w:contextualSpacing w:val="0"/>
        <w:jc w:val="both"/>
        <w:rPr>
          <w:rFonts w:asciiTheme="minorHAnsi" w:eastAsia="Times New Roman" w:hAnsiTheme="minorHAnsi" w:cs="Times New Roman"/>
          <w:lang w:eastAsia="en-US"/>
        </w:rPr>
      </w:pPr>
      <w:r w:rsidRPr="001C74C1">
        <w:rPr>
          <w:rFonts w:asciiTheme="minorHAnsi" w:eastAsia="Times New Roman" w:hAnsiTheme="minorHAnsi" w:cs="Times New Roman"/>
          <w:lang w:eastAsia="en-US"/>
        </w:rPr>
        <w:t>Analysing the evolution of cumulative costs (CAPEX and OPEX) along a timeframe period of 5 years in a network with 20 AIS Base Stations and 4 DGNSS beacons, it can be observed that when an infrastructure upgrade is done to build the decentralised alternate scenarios, a return of the investment is not possible. On the contrary, when an infrastructure upgrade is done to build the centralised alternate scenarios, in both of them a return of the investment will happen. The earliest return of the investment happens in the “Centralised - EDAS” alternative. Hence, this would be the most promising alternative in terms of costs, in this situation.</w:t>
      </w:r>
    </w:p>
    <w:p w14:paraId="2E28BC6B" w14:textId="7D2FFDC6" w:rsidR="001C74C1" w:rsidRDefault="001C74C1" w:rsidP="001C74C1">
      <w:pPr>
        <w:spacing w:after="120"/>
        <w:jc w:val="both"/>
        <w:rPr>
          <w:rFonts w:asciiTheme="minorHAnsi" w:eastAsia="Times New Roman" w:hAnsiTheme="minorHAnsi" w:cs="Times New Roman"/>
          <w:lang w:eastAsia="en-US"/>
        </w:rPr>
      </w:pPr>
      <w:r w:rsidRPr="001F3B18">
        <w:rPr>
          <w:rFonts w:asciiTheme="minorHAnsi" w:eastAsia="Times New Roman" w:hAnsiTheme="minorHAnsi" w:cs="Times New Roman"/>
          <w:u w:val="single"/>
          <w:lang w:eastAsia="en-US"/>
        </w:rPr>
        <w:t>New infrastructure (20 stations)</w:t>
      </w:r>
      <w:r>
        <w:rPr>
          <w:rFonts w:asciiTheme="minorHAnsi" w:eastAsia="Times New Roman" w:hAnsiTheme="minorHAnsi" w:cs="Times New Roman"/>
          <w:lang w:eastAsia="en-US"/>
        </w:rPr>
        <w:t>:</w:t>
      </w:r>
    </w:p>
    <w:p w14:paraId="70A175C5" w14:textId="43F08696" w:rsidR="001C74C1" w:rsidRPr="001C74C1" w:rsidRDefault="001C74C1" w:rsidP="001C74C1">
      <w:pPr>
        <w:pStyle w:val="ListParagraph"/>
        <w:numPr>
          <w:ilvl w:val="0"/>
          <w:numId w:val="37"/>
        </w:numPr>
        <w:spacing w:after="120"/>
        <w:contextualSpacing w:val="0"/>
        <w:jc w:val="both"/>
        <w:rPr>
          <w:rFonts w:asciiTheme="minorHAnsi" w:eastAsia="Times New Roman" w:hAnsiTheme="minorHAnsi" w:cs="Times New Roman"/>
          <w:lang w:eastAsia="en-US"/>
        </w:rPr>
      </w:pPr>
      <w:r w:rsidRPr="001C74C1">
        <w:rPr>
          <w:rFonts w:asciiTheme="minorHAnsi" w:eastAsia="Times New Roman" w:hAnsiTheme="minorHAnsi" w:cs="Times New Roman"/>
          <w:lang w:eastAsia="en-US"/>
        </w:rPr>
        <w:t>A completely new centralised option deployed for 20 AIS Base Stations is cheaper than the deployment of the reference scenario. Besides, the decrease in OPEX leads to a growing profit result along the years. Both centralised alternatives yield similar savings, being the “Centralised EDAS” slightly better in terms of costs.</w:t>
      </w:r>
    </w:p>
    <w:p w14:paraId="0E60B1A1" w14:textId="77777777" w:rsidR="00FE4FAD" w:rsidRPr="00FE4FAD" w:rsidRDefault="00FE4FAD" w:rsidP="00FE4FAD">
      <w:pPr>
        <w:pStyle w:val="BodyText"/>
      </w:pPr>
    </w:p>
    <w:sectPr w:rsidR="00FE4FAD" w:rsidRPr="00FE4FAD" w:rsidSect="0078157A">
      <w:pgSz w:w="11906" w:h="16838"/>
      <w:pgMar w:top="851" w:right="851" w:bottom="1418" w:left="1134" w:header="907" w:footer="34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74A11" w14:textId="77777777" w:rsidR="00F55300" w:rsidRDefault="00F55300" w:rsidP="00362CD9">
      <w:r>
        <w:separator/>
      </w:r>
    </w:p>
  </w:endnote>
  <w:endnote w:type="continuationSeparator" w:id="0">
    <w:p w14:paraId="3CE02329" w14:textId="77777777" w:rsidR="00F55300" w:rsidRDefault="00F5530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BTLRCM+HelveticaNeue-Roman">
    <w:altName w:val="Helvetica Neu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C91F" w14:textId="77777777" w:rsidR="0018233F" w:rsidRDefault="0018233F">
    <w:pPr>
      <w:pStyle w:val="Footer"/>
    </w:pPr>
    <w:r>
      <w:tab/>
    </w:r>
    <w:r>
      <w:fldChar w:fldCharType="begin"/>
    </w:r>
    <w:r>
      <w:instrText xml:space="preserve"> PAGE   \* MERGEFORMAT </w:instrText>
    </w:r>
    <w:r>
      <w:fldChar w:fldCharType="separate"/>
    </w:r>
    <w:r w:rsidR="0050366D">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33E81" w14:textId="77777777" w:rsidR="00F55300" w:rsidRDefault="00F55300" w:rsidP="00362CD9">
      <w:r>
        <w:separator/>
      </w:r>
    </w:p>
  </w:footnote>
  <w:footnote w:type="continuationSeparator" w:id="0">
    <w:p w14:paraId="70292C03" w14:textId="77777777" w:rsidR="00F55300" w:rsidRDefault="00F55300" w:rsidP="00362CD9">
      <w:r>
        <w:continuationSeparator/>
      </w:r>
    </w:p>
  </w:footnote>
  <w:footnote w:id="1">
    <w:p w14:paraId="4E4E93A5" w14:textId="77777777" w:rsidR="0018233F" w:rsidRPr="00EA5A97" w:rsidRDefault="0018233F">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378305A5" w14:textId="77777777" w:rsidR="0018233F" w:rsidRPr="00037DF4" w:rsidRDefault="0018233F">
      <w:pPr>
        <w:pStyle w:val="FootnoteText"/>
      </w:pPr>
      <w:r w:rsidRPr="00037DF4">
        <w:rPr>
          <w:rStyle w:val="FootnoteReference"/>
        </w:rPr>
        <w:footnoteRef/>
      </w:r>
      <w:r w:rsidRPr="00037DF4">
        <w:t xml:space="preserve"> </w:t>
      </w:r>
      <w:r w:rsidRPr="00037DF4">
        <w:rPr>
          <w:sz w:val="16"/>
          <w:szCs w:val="16"/>
        </w:rPr>
        <w:t>Leave open if uncertain</w:t>
      </w:r>
    </w:p>
  </w:footnote>
  <w:footnote w:id="3">
    <w:p w14:paraId="387C6994" w14:textId="77777777" w:rsidR="0018233F" w:rsidRPr="00170E5E" w:rsidRDefault="0018233F" w:rsidP="00AF0A9A">
      <w:pPr>
        <w:pStyle w:val="FootnoteText"/>
      </w:pPr>
      <w:r>
        <w:rPr>
          <w:rStyle w:val="FootnoteReference"/>
        </w:rPr>
        <w:footnoteRef/>
      </w:r>
      <w:r>
        <w:t xml:space="preserve"> </w:t>
      </w:r>
      <w:hyperlink r:id="rId1" w:history="1">
        <w:r w:rsidRPr="00C052D8">
          <w:rPr>
            <w:rStyle w:val="Hyperlink"/>
            <w:sz w:val="18"/>
          </w:rPr>
          <w:t>http://europa.eu/rapid/press-release_IP-14-314_en.htm</w:t>
        </w:r>
      </w:hyperlink>
    </w:p>
  </w:footnote>
  <w:footnote w:id="4">
    <w:p w14:paraId="17EB160E" w14:textId="77777777" w:rsidR="0018233F" w:rsidRPr="00581B7E" w:rsidRDefault="0018233F" w:rsidP="00B94D05">
      <w:pPr>
        <w:pStyle w:val="FootnoteText"/>
        <w:rPr>
          <w:sz w:val="18"/>
          <w:szCs w:val="18"/>
          <w:lang w:val="en-US"/>
        </w:rPr>
      </w:pPr>
      <w:r w:rsidRPr="00581B7E">
        <w:rPr>
          <w:rStyle w:val="FootnoteReference"/>
          <w:sz w:val="18"/>
          <w:szCs w:val="18"/>
        </w:rPr>
        <w:footnoteRef/>
      </w:r>
      <w:r w:rsidRPr="00581B7E">
        <w:rPr>
          <w:sz w:val="18"/>
          <w:szCs w:val="18"/>
        </w:rPr>
        <w:t xml:space="preserve"> “Go Through” module: means that no change on the data is done on this layer at the broadcast site. For instance, in the centralised solution, corrections (including integrity) are received at the broadcast site, being only necessary to transmit this data via radio. Hence, no action is done in the "GNSS data processing and composition" tasks.</w:t>
      </w:r>
    </w:p>
  </w:footnote>
  <w:footnote w:id="5">
    <w:p w14:paraId="30B9CEE9" w14:textId="77777777" w:rsidR="0018233F" w:rsidRPr="007E1164" w:rsidRDefault="0018233F" w:rsidP="007E1164">
      <w:pPr>
        <w:pStyle w:val="FootnoteText"/>
        <w:jc w:val="both"/>
      </w:pPr>
      <w:r>
        <w:rPr>
          <w:rStyle w:val="FootnoteReference"/>
        </w:rPr>
        <w:footnoteRef/>
      </w:r>
      <w:r>
        <w:t xml:space="preserve"> </w:t>
      </w:r>
      <w:r w:rsidRPr="001D6C19">
        <w:rPr>
          <w:sz w:val="18"/>
        </w:rPr>
        <w:t>The case of locating one RS with IM is located at the same site as each AIS Base Station is highly unlikely and inefficient: considering the short coverage of the AIS base stations (within LoS range) compared to the broadcast range of a DGNSS station (in the order of 200 NM), in a defined area covered by both systems there would be more AIS Base Stations than IALA beacons.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AA6C8" w14:textId="77777777" w:rsidR="0018233F" w:rsidRDefault="00F55300">
    <w:pPr>
      <w:pStyle w:val="Header"/>
    </w:pPr>
    <w:r>
      <w:rPr>
        <w:noProof/>
      </w:rPr>
      <w:pict w14:anchorId="199863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F97DF" w14:textId="77777777" w:rsidR="0018233F" w:rsidRDefault="0018233F" w:rsidP="007A395D">
    <w:pPr>
      <w:pStyle w:val="Header"/>
      <w:jc w:val="right"/>
    </w:pPr>
    <w:r>
      <w:rPr>
        <w:noProof/>
        <w:lang w:val="en-IE" w:eastAsia="en-IE"/>
      </w:rPr>
      <w:drawing>
        <wp:anchor distT="0" distB="0" distL="114300" distR="114300" simplePos="0" relativeHeight="251665408" behindDoc="0" locked="0" layoutInCell="1" allowOverlap="1" wp14:anchorId="061B8678" wp14:editId="6902604A">
          <wp:simplePos x="0" y="0"/>
          <wp:positionH relativeFrom="column">
            <wp:posOffset>5447030</wp:posOffset>
          </wp:positionH>
          <wp:positionV relativeFrom="paragraph">
            <wp:posOffset>-427990</wp:posOffset>
          </wp:positionV>
          <wp:extent cx="574675" cy="560070"/>
          <wp:effectExtent l="0" t="0" r="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55300">
      <w:rPr>
        <w:noProof/>
      </w:rPr>
      <w:pict w14:anchorId="1B34E7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03A2D" w14:textId="77777777" w:rsidR="0018233F" w:rsidRDefault="0018233F" w:rsidP="007A395D">
    <w:pPr>
      <w:pStyle w:val="Header"/>
      <w:jc w:val="center"/>
    </w:pPr>
    <w:r>
      <w:rPr>
        <w:noProof/>
        <w:lang w:val="en-IE" w:eastAsia="en-IE"/>
      </w:rPr>
      <w:drawing>
        <wp:anchor distT="0" distB="0" distL="114300" distR="114300" simplePos="0" relativeHeight="251658240" behindDoc="0" locked="0" layoutInCell="1" allowOverlap="1" wp14:anchorId="57A7B34E" wp14:editId="579695AB">
          <wp:simplePos x="0" y="0"/>
          <wp:positionH relativeFrom="column">
            <wp:posOffset>2523172</wp:posOffset>
          </wp:positionH>
          <wp:positionV relativeFrom="paragraph">
            <wp:posOffset>-405130</wp:posOffset>
          </wp:positionV>
          <wp:extent cx="852713" cy="831071"/>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404A6F8" w14:textId="77777777" w:rsidR="0018233F" w:rsidRDefault="0018233F" w:rsidP="007A395D">
    <w:pPr>
      <w:pStyle w:val="Header"/>
      <w:jc w:val="center"/>
    </w:pPr>
  </w:p>
  <w:p w14:paraId="11862AAC" w14:textId="77777777" w:rsidR="0018233F" w:rsidRDefault="00F55300" w:rsidP="007A395D">
    <w:pPr>
      <w:pStyle w:val="Header"/>
      <w:jc w:val="center"/>
    </w:pPr>
    <w:r>
      <w:rPr>
        <w:noProof/>
      </w:rPr>
      <w:pict w14:anchorId="46F8B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0C38"/>
    <w:multiLevelType w:val="hybridMultilevel"/>
    <w:tmpl w:val="5234F53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Times New Roman" w:eastAsia="Times New Roman" w:hAnsi="Times New Roman" w:cs="Times New Roman"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23D0B3C"/>
    <w:multiLevelType w:val="hybridMultilevel"/>
    <w:tmpl w:val="651C3968"/>
    <w:lvl w:ilvl="0" w:tplc="0C0A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A7B4A1E"/>
    <w:multiLevelType w:val="hybridMultilevel"/>
    <w:tmpl w:val="5664D5BC"/>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0B8D6414"/>
    <w:multiLevelType w:val="multilevel"/>
    <w:tmpl w:val="B9A0CDF6"/>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210375"/>
    <w:multiLevelType w:val="hybridMultilevel"/>
    <w:tmpl w:val="C29C77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D1E6C91"/>
    <w:multiLevelType w:val="hybridMultilevel"/>
    <w:tmpl w:val="EFF2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2934FD3"/>
    <w:multiLevelType w:val="hybridMultilevel"/>
    <w:tmpl w:val="1B2A9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6D34CB4"/>
    <w:multiLevelType w:val="hybridMultilevel"/>
    <w:tmpl w:val="912A6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A450035"/>
    <w:multiLevelType w:val="multilevel"/>
    <w:tmpl w:val="6B0C1D72"/>
    <w:lvl w:ilvl="0">
      <w:start w:val="1"/>
      <w:numFmt w:val="upperLetter"/>
      <w:pStyle w:val="Appendix-1"/>
      <w:lvlText w:val="Appendix %1"/>
      <w:lvlJc w:val="left"/>
      <w:pPr>
        <w:tabs>
          <w:tab w:val="num" w:pos="2160"/>
        </w:tabs>
        <w:ind w:left="360" w:hanging="360"/>
      </w:pPr>
      <w:rPr>
        <w:rFonts w:hint="default"/>
      </w:rPr>
    </w:lvl>
    <w:lvl w:ilvl="1">
      <w:start w:val="1"/>
      <w:numFmt w:val="decimal"/>
      <w:lvlText w:val="Appendix %1.%2"/>
      <w:lvlJc w:val="left"/>
      <w:pPr>
        <w:tabs>
          <w:tab w:val="num" w:pos="2520"/>
        </w:tabs>
        <w:ind w:left="792" w:hanging="432"/>
      </w:pPr>
      <w:rPr>
        <w:rFonts w:hint="default"/>
        <w:u w:val="none"/>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
    <w:nsid w:val="1E4E4336"/>
    <w:multiLevelType w:val="multilevel"/>
    <w:tmpl w:val="5846DD04"/>
    <w:lvl w:ilvl="0">
      <w:start w:val="1"/>
      <w:numFmt w:val="upperLetter"/>
      <w:pStyle w:val="Annex1"/>
      <w:lvlText w:val="Appendix %1."/>
      <w:lvlJc w:val="left"/>
      <w:pPr>
        <w:ind w:left="720" w:hanging="360"/>
      </w:pPr>
      <w:rPr>
        <w:rFonts w:hint="default"/>
      </w:rPr>
    </w:lvl>
    <w:lvl w:ilvl="1">
      <w:start w:val="1"/>
      <w:numFmt w:val="decimal"/>
      <w:lvlText w:val="Appendix  A.%2."/>
      <w:lvlJc w:val="left"/>
      <w:pPr>
        <w:ind w:left="1440" w:hanging="360"/>
      </w:pPr>
      <w:rPr>
        <w:rFonts w:hint="default"/>
      </w:rPr>
    </w:lvl>
    <w:lvl w:ilvl="2">
      <w:start w:val="1"/>
      <w:numFmt w:val="decimal"/>
      <w:lvlText w:val="Appendix  A. %2.%3."/>
      <w:lvlJc w:val="right"/>
      <w:pPr>
        <w:ind w:left="2160" w:hanging="108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3AA75C1"/>
    <w:multiLevelType w:val="hybridMultilevel"/>
    <w:tmpl w:val="7CAE93A8"/>
    <w:lvl w:ilvl="0" w:tplc="F53490C4">
      <w:start w:val="1"/>
      <w:numFmt w:val="upperLetter"/>
      <w:pStyle w:val="Annex2"/>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5E158D0"/>
    <w:multiLevelType w:val="hybridMultilevel"/>
    <w:tmpl w:val="BC0A7F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9042CCF"/>
    <w:multiLevelType w:val="multilevel"/>
    <w:tmpl w:val="4F8066B8"/>
    <w:lvl w:ilvl="0">
      <w:start w:val="1"/>
      <w:numFmt w:val="decimal"/>
      <w:pStyle w:val="Annex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31AA7698"/>
    <w:multiLevelType w:val="hybridMultilevel"/>
    <w:tmpl w:val="FD4855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AD214F2"/>
    <w:multiLevelType w:val="hybridMultilevel"/>
    <w:tmpl w:val="50DEBF5E"/>
    <w:lvl w:ilvl="0" w:tplc="EDA80236">
      <w:start w:val="1"/>
      <w:numFmt w:val="bullet"/>
      <w:pStyle w:val="1stleve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B523EB3"/>
    <w:multiLevelType w:val="hybridMultilevel"/>
    <w:tmpl w:val="264EE5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1B55D23"/>
    <w:multiLevelType w:val="multilevel"/>
    <w:tmpl w:val="1C36B6DC"/>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7D83455"/>
    <w:multiLevelType w:val="hybridMultilevel"/>
    <w:tmpl w:val="C37E64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8835C0A"/>
    <w:multiLevelType w:val="hybridMultilevel"/>
    <w:tmpl w:val="4CCA71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9821908"/>
    <w:multiLevelType w:val="hybridMultilevel"/>
    <w:tmpl w:val="98A21910"/>
    <w:lvl w:ilvl="0" w:tplc="A2E6E910">
      <w:start w:val="1"/>
      <w:numFmt w:val="bullet"/>
      <w:pStyle w:val="4thlevelbullet"/>
      <w:lvlText w:val=""/>
      <w:lvlJc w:val="left"/>
      <w:pPr>
        <w:tabs>
          <w:tab w:val="num" w:pos="1418"/>
        </w:tabs>
        <w:ind w:left="1418" w:hanging="284"/>
      </w:pPr>
      <w:rPr>
        <w:rFonts w:ascii="Wingdings" w:hAnsi="Wingdings" w:hint="default"/>
      </w:rPr>
    </w:lvl>
    <w:lvl w:ilvl="1" w:tplc="A2DA1BD4">
      <w:start w:val="1"/>
      <w:numFmt w:val="bullet"/>
      <w:lvlText w:val=""/>
      <w:lvlJc w:val="left"/>
      <w:pPr>
        <w:tabs>
          <w:tab w:val="num" w:pos="1800"/>
        </w:tabs>
        <w:ind w:left="1800" w:hanging="360"/>
      </w:pPr>
      <w:rPr>
        <w:rFonts w:ascii="Wingdings" w:hAnsi="Wingdings" w:hint="default"/>
      </w:rPr>
    </w:lvl>
    <w:lvl w:ilvl="2" w:tplc="FFFFFFFF">
      <w:numFmt w:val="bullet"/>
      <w:lvlText w:val="-"/>
      <w:lvlJc w:val="left"/>
      <w:pPr>
        <w:tabs>
          <w:tab w:val="num" w:pos="2520"/>
        </w:tabs>
        <w:ind w:left="2520" w:hanging="360"/>
      </w:pPr>
      <w:rPr>
        <w:rFonts w:ascii="Times New Roman" w:eastAsia="Times New Roman" w:hAnsi="Times New Roman"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Symbol"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Symbol"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5CC6662D"/>
    <w:multiLevelType w:val="hybridMultilevel"/>
    <w:tmpl w:val="16A412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0585238"/>
    <w:multiLevelType w:val="multilevel"/>
    <w:tmpl w:val="A6D258AA"/>
    <w:lvl w:ilvl="0">
      <w:start w:val="1"/>
      <w:numFmt w:val="decimal"/>
      <w:pStyle w:val="Annex"/>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1583242"/>
    <w:multiLevelType w:val="multilevel"/>
    <w:tmpl w:val="E42AD714"/>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34C1CBF"/>
    <w:multiLevelType w:val="singleLevel"/>
    <w:tmpl w:val="496E75A6"/>
    <w:lvl w:ilvl="0">
      <w:start w:val="1"/>
      <w:numFmt w:val="decimal"/>
      <w:pStyle w:val="Figure"/>
      <w:lvlText w:val="Figure %1"/>
      <w:lvlJc w:val="left"/>
      <w:pPr>
        <w:tabs>
          <w:tab w:val="num" w:pos="1134"/>
        </w:tabs>
        <w:ind w:left="1134" w:hanging="1134"/>
      </w:pPr>
      <w:rPr>
        <w:rFonts w:asciiTheme="minorHAnsi" w:hAnsiTheme="minorHAnsi" w:hint="default"/>
        <w:b w:val="0"/>
        <w:i/>
        <w:sz w:val="22"/>
        <w:szCs w:val="22"/>
      </w:rPr>
    </w:lvl>
  </w:abstractNum>
  <w:abstractNum w:abstractNumId="3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CAE20E9"/>
    <w:multiLevelType w:val="hybridMultilevel"/>
    <w:tmpl w:val="6556324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FC51584"/>
    <w:multiLevelType w:val="hybridMultilevel"/>
    <w:tmpl w:val="AE685D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1342F3E"/>
    <w:multiLevelType w:val="hybridMultilevel"/>
    <w:tmpl w:val="3B2444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nsid w:val="74DE3308"/>
    <w:multiLevelType w:val="hybridMultilevel"/>
    <w:tmpl w:val="050617B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B1413F6"/>
    <w:multiLevelType w:val="hybridMultilevel"/>
    <w:tmpl w:val="14A8BB4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C615D64"/>
    <w:multiLevelType w:val="hybridMultilevel"/>
    <w:tmpl w:val="F1EEF15A"/>
    <w:lvl w:ilvl="0" w:tplc="FBF0EAD6">
      <w:start w:val="1"/>
      <w:numFmt w:val="decimalZero"/>
      <w:pStyle w:val="BulletInput"/>
      <w:lvlText w:val="Input %1 - "/>
      <w:lvlJc w:val="left"/>
      <w:pPr>
        <w:tabs>
          <w:tab w:val="num" w:pos="1985"/>
        </w:tabs>
        <w:ind w:left="1985" w:hanging="141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tabs>
          <w:tab w:val="num" w:pos="1619"/>
        </w:tabs>
        <w:ind w:left="1619" w:hanging="360"/>
      </w:pPr>
    </w:lvl>
    <w:lvl w:ilvl="2" w:tplc="040C001B" w:tentative="1">
      <w:start w:val="1"/>
      <w:numFmt w:val="lowerRoman"/>
      <w:lvlText w:val="%3."/>
      <w:lvlJc w:val="right"/>
      <w:pPr>
        <w:tabs>
          <w:tab w:val="num" w:pos="2339"/>
        </w:tabs>
        <w:ind w:left="2339" w:hanging="180"/>
      </w:pPr>
    </w:lvl>
    <w:lvl w:ilvl="3" w:tplc="040C000F" w:tentative="1">
      <w:start w:val="1"/>
      <w:numFmt w:val="decimal"/>
      <w:lvlText w:val="%4."/>
      <w:lvlJc w:val="left"/>
      <w:pPr>
        <w:tabs>
          <w:tab w:val="num" w:pos="3059"/>
        </w:tabs>
        <w:ind w:left="3059" w:hanging="360"/>
      </w:pPr>
    </w:lvl>
    <w:lvl w:ilvl="4" w:tplc="040C0019" w:tentative="1">
      <w:start w:val="1"/>
      <w:numFmt w:val="lowerLetter"/>
      <w:lvlText w:val="%5."/>
      <w:lvlJc w:val="left"/>
      <w:pPr>
        <w:tabs>
          <w:tab w:val="num" w:pos="3779"/>
        </w:tabs>
        <w:ind w:left="3779" w:hanging="360"/>
      </w:pPr>
    </w:lvl>
    <w:lvl w:ilvl="5" w:tplc="040C001B" w:tentative="1">
      <w:start w:val="1"/>
      <w:numFmt w:val="lowerRoman"/>
      <w:lvlText w:val="%6."/>
      <w:lvlJc w:val="right"/>
      <w:pPr>
        <w:tabs>
          <w:tab w:val="num" w:pos="4499"/>
        </w:tabs>
        <w:ind w:left="4499" w:hanging="180"/>
      </w:pPr>
    </w:lvl>
    <w:lvl w:ilvl="6" w:tplc="040C000F" w:tentative="1">
      <w:start w:val="1"/>
      <w:numFmt w:val="decimal"/>
      <w:lvlText w:val="%7."/>
      <w:lvlJc w:val="left"/>
      <w:pPr>
        <w:tabs>
          <w:tab w:val="num" w:pos="5219"/>
        </w:tabs>
        <w:ind w:left="5219" w:hanging="360"/>
      </w:pPr>
    </w:lvl>
    <w:lvl w:ilvl="7" w:tplc="040C0019" w:tentative="1">
      <w:start w:val="1"/>
      <w:numFmt w:val="lowerLetter"/>
      <w:lvlText w:val="%8."/>
      <w:lvlJc w:val="left"/>
      <w:pPr>
        <w:tabs>
          <w:tab w:val="num" w:pos="5939"/>
        </w:tabs>
        <w:ind w:left="5939" w:hanging="360"/>
      </w:pPr>
    </w:lvl>
    <w:lvl w:ilvl="8" w:tplc="040C001B" w:tentative="1">
      <w:start w:val="1"/>
      <w:numFmt w:val="lowerRoman"/>
      <w:lvlText w:val="%9."/>
      <w:lvlJc w:val="right"/>
      <w:pPr>
        <w:tabs>
          <w:tab w:val="num" w:pos="6659"/>
        </w:tabs>
        <w:ind w:left="6659" w:hanging="180"/>
      </w:pPr>
    </w:lvl>
  </w:abstractNum>
  <w:num w:numId="1">
    <w:abstractNumId w:val="28"/>
  </w:num>
  <w:num w:numId="2">
    <w:abstractNumId w:val="20"/>
  </w:num>
  <w:num w:numId="3">
    <w:abstractNumId w:val="4"/>
  </w:num>
  <w:num w:numId="4">
    <w:abstractNumId w:val="31"/>
  </w:num>
  <w:num w:numId="5">
    <w:abstractNumId w:val="17"/>
  </w:num>
  <w:num w:numId="6">
    <w:abstractNumId w:val="13"/>
  </w:num>
  <w:num w:numId="7">
    <w:abstractNumId w:val="30"/>
  </w:num>
  <w:num w:numId="8">
    <w:abstractNumId w:val="11"/>
  </w:num>
  <w:num w:numId="9">
    <w:abstractNumId w:val="18"/>
  </w:num>
  <w:num w:numId="10">
    <w:abstractNumId w:val="19"/>
  </w:num>
  <w:num w:numId="11">
    <w:abstractNumId w:val="2"/>
  </w:num>
  <w:num w:numId="12">
    <w:abstractNumId w:val="34"/>
  </w:num>
  <w:num w:numId="13">
    <w:abstractNumId w:val="37"/>
    <w:lvlOverride w:ilvl="0">
      <w:startOverride w:val="1"/>
    </w:lvlOverride>
  </w:num>
  <w:num w:numId="14">
    <w:abstractNumId w:val="9"/>
  </w:num>
  <w:num w:numId="15">
    <w:abstractNumId w:val="29"/>
  </w:num>
  <w:num w:numId="16">
    <w:abstractNumId w:val="15"/>
  </w:num>
  <w:num w:numId="17">
    <w:abstractNumId w:val="12"/>
  </w:num>
  <w:num w:numId="18">
    <w:abstractNumId w:val="10"/>
  </w:num>
  <w:num w:numId="19">
    <w:abstractNumId w:val="21"/>
  </w:num>
  <w:num w:numId="20">
    <w:abstractNumId w:val="26"/>
  </w:num>
  <w:num w:numId="21">
    <w:abstractNumId w:val="1"/>
  </w:num>
  <w:num w:numId="22">
    <w:abstractNumId w:val="0"/>
  </w:num>
  <w:num w:numId="23">
    <w:abstractNumId w:val="24"/>
  </w:num>
  <w:num w:numId="24">
    <w:abstractNumId w:val="14"/>
  </w:num>
  <w:num w:numId="25">
    <w:abstractNumId w:val="36"/>
  </w:num>
  <w:num w:numId="26">
    <w:abstractNumId w:val="3"/>
  </w:num>
  <w:num w:numId="27">
    <w:abstractNumId w:val="22"/>
  </w:num>
  <w:num w:numId="28">
    <w:abstractNumId w:val="33"/>
  </w:num>
  <w:num w:numId="29">
    <w:abstractNumId w:val="16"/>
  </w:num>
  <w:num w:numId="30">
    <w:abstractNumId w:val="25"/>
  </w:num>
  <w:num w:numId="31">
    <w:abstractNumId w:val="27"/>
  </w:num>
  <w:num w:numId="32">
    <w:abstractNumId w:val="35"/>
  </w:num>
  <w:num w:numId="33">
    <w:abstractNumId w:val="32"/>
  </w:num>
  <w:num w:numId="34">
    <w:abstractNumId w:val="5"/>
  </w:num>
  <w:num w:numId="35">
    <w:abstractNumId w:val="23"/>
  </w:num>
  <w:num w:numId="36">
    <w:abstractNumId w:val="6"/>
  </w:num>
  <w:num w:numId="37">
    <w:abstractNumId w:val="7"/>
  </w:num>
  <w:num w:numId="38">
    <w:abstractNumId w:val="8"/>
  </w:num>
  <w:num w:numId="39">
    <w:abstractNumId w:val="1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0A99"/>
    <w:rsid w:val="000026F6"/>
    <w:rsid w:val="000049D8"/>
    <w:rsid w:val="000136FF"/>
    <w:rsid w:val="000248F1"/>
    <w:rsid w:val="00037DF4"/>
    <w:rsid w:val="0004057E"/>
    <w:rsid w:val="0004370D"/>
    <w:rsid w:val="0004700E"/>
    <w:rsid w:val="0005290D"/>
    <w:rsid w:val="00056CB5"/>
    <w:rsid w:val="000672A3"/>
    <w:rsid w:val="00070C13"/>
    <w:rsid w:val="00072409"/>
    <w:rsid w:val="0008191A"/>
    <w:rsid w:val="00081DE6"/>
    <w:rsid w:val="0008354B"/>
    <w:rsid w:val="00083A43"/>
    <w:rsid w:val="00084F33"/>
    <w:rsid w:val="00093641"/>
    <w:rsid w:val="000A77A7"/>
    <w:rsid w:val="000B1707"/>
    <w:rsid w:val="000B72AE"/>
    <w:rsid w:val="000C1B3E"/>
    <w:rsid w:val="000C54D1"/>
    <w:rsid w:val="000C5DD7"/>
    <w:rsid w:val="000D0AA9"/>
    <w:rsid w:val="000D7C0A"/>
    <w:rsid w:val="000E355C"/>
    <w:rsid w:val="000E3D37"/>
    <w:rsid w:val="000F3286"/>
    <w:rsid w:val="000F5919"/>
    <w:rsid w:val="00110AE7"/>
    <w:rsid w:val="00112DCB"/>
    <w:rsid w:val="001277B3"/>
    <w:rsid w:val="001305FB"/>
    <w:rsid w:val="00134C21"/>
    <w:rsid w:val="00134D6C"/>
    <w:rsid w:val="001377C2"/>
    <w:rsid w:val="00137A94"/>
    <w:rsid w:val="00140F15"/>
    <w:rsid w:val="001412DA"/>
    <w:rsid w:val="00155EC5"/>
    <w:rsid w:val="0016782E"/>
    <w:rsid w:val="0017725C"/>
    <w:rsid w:val="00177F17"/>
    <w:rsid w:val="00177F4D"/>
    <w:rsid w:val="00180DDA"/>
    <w:rsid w:val="0018233F"/>
    <w:rsid w:val="00184EC4"/>
    <w:rsid w:val="00190BFB"/>
    <w:rsid w:val="001953C0"/>
    <w:rsid w:val="001A3C73"/>
    <w:rsid w:val="001A49B2"/>
    <w:rsid w:val="001A586E"/>
    <w:rsid w:val="001B2A2D"/>
    <w:rsid w:val="001B41F2"/>
    <w:rsid w:val="001B5E1B"/>
    <w:rsid w:val="001B737D"/>
    <w:rsid w:val="001B7EA5"/>
    <w:rsid w:val="001C2684"/>
    <w:rsid w:val="001C44A3"/>
    <w:rsid w:val="001C454B"/>
    <w:rsid w:val="001C74C1"/>
    <w:rsid w:val="001D2BE5"/>
    <w:rsid w:val="001D6C19"/>
    <w:rsid w:val="001D7971"/>
    <w:rsid w:val="001D7F7D"/>
    <w:rsid w:val="001E0E15"/>
    <w:rsid w:val="001E6BF6"/>
    <w:rsid w:val="001F0A5D"/>
    <w:rsid w:val="001F3B18"/>
    <w:rsid w:val="001F528A"/>
    <w:rsid w:val="001F704E"/>
    <w:rsid w:val="00201722"/>
    <w:rsid w:val="00203CE6"/>
    <w:rsid w:val="00206B64"/>
    <w:rsid w:val="0020744A"/>
    <w:rsid w:val="002125B0"/>
    <w:rsid w:val="00212FC8"/>
    <w:rsid w:val="00215F4B"/>
    <w:rsid w:val="002162EA"/>
    <w:rsid w:val="00225002"/>
    <w:rsid w:val="00225248"/>
    <w:rsid w:val="0023428A"/>
    <w:rsid w:val="00240DAE"/>
    <w:rsid w:val="0024140C"/>
    <w:rsid w:val="00243228"/>
    <w:rsid w:val="00247174"/>
    <w:rsid w:val="00251483"/>
    <w:rsid w:val="002524AB"/>
    <w:rsid w:val="00255CAA"/>
    <w:rsid w:val="00260F08"/>
    <w:rsid w:val="00264305"/>
    <w:rsid w:val="0026446F"/>
    <w:rsid w:val="00266EA6"/>
    <w:rsid w:val="002673BB"/>
    <w:rsid w:val="00277E6C"/>
    <w:rsid w:val="00296DF5"/>
    <w:rsid w:val="00296FBA"/>
    <w:rsid w:val="002A0346"/>
    <w:rsid w:val="002A4487"/>
    <w:rsid w:val="002A4524"/>
    <w:rsid w:val="002B49E9"/>
    <w:rsid w:val="002C0351"/>
    <w:rsid w:val="002C1170"/>
    <w:rsid w:val="002C3910"/>
    <w:rsid w:val="002C49B9"/>
    <w:rsid w:val="002C632E"/>
    <w:rsid w:val="002D1D54"/>
    <w:rsid w:val="002D2D66"/>
    <w:rsid w:val="002D3E8B"/>
    <w:rsid w:val="002D4575"/>
    <w:rsid w:val="002D5C0C"/>
    <w:rsid w:val="002D702E"/>
    <w:rsid w:val="002E03D1"/>
    <w:rsid w:val="002E4D7D"/>
    <w:rsid w:val="002E6B74"/>
    <w:rsid w:val="002E6FCA"/>
    <w:rsid w:val="00304435"/>
    <w:rsid w:val="0030520A"/>
    <w:rsid w:val="00306691"/>
    <w:rsid w:val="00314B20"/>
    <w:rsid w:val="003166FE"/>
    <w:rsid w:val="00323620"/>
    <w:rsid w:val="00324E05"/>
    <w:rsid w:val="0034014D"/>
    <w:rsid w:val="00342832"/>
    <w:rsid w:val="00342882"/>
    <w:rsid w:val="00344644"/>
    <w:rsid w:val="0035124E"/>
    <w:rsid w:val="00356CD0"/>
    <w:rsid w:val="00362CD9"/>
    <w:rsid w:val="00365FD5"/>
    <w:rsid w:val="00370DC1"/>
    <w:rsid w:val="00375552"/>
    <w:rsid w:val="003761CA"/>
    <w:rsid w:val="0037670B"/>
    <w:rsid w:val="00380AC4"/>
    <w:rsid w:val="00380DAF"/>
    <w:rsid w:val="00384C96"/>
    <w:rsid w:val="00387FBD"/>
    <w:rsid w:val="0039406F"/>
    <w:rsid w:val="003972CE"/>
    <w:rsid w:val="003A0E47"/>
    <w:rsid w:val="003A1F17"/>
    <w:rsid w:val="003B28F5"/>
    <w:rsid w:val="003B3763"/>
    <w:rsid w:val="003B3F5C"/>
    <w:rsid w:val="003B7B7D"/>
    <w:rsid w:val="003C54CB"/>
    <w:rsid w:val="003C69EF"/>
    <w:rsid w:val="003C7A2A"/>
    <w:rsid w:val="003D2DC1"/>
    <w:rsid w:val="003D36E8"/>
    <w:rsid w:val="003D69D0"/>
    <w:rsid w:val="003E28C2"/>
    <w:rsid w:val="003F2918"/>
    <w:rsid w:val="003F430E"/>
    <w:rsid w:val="003F5F61"/>
    <w:rsid w:val="003F69C5"/>
    <w:rsid w:val="004012E8"/>
    <w:rsid w:val="004021BD"/>
    <w:rsid w:val="00404400"/>
    <w:rsid w:val="00405236"/>
    <w:rsid w:val="0041088C"/>
    <w:rsid w:val="00412AD2"/>
    <w:rsid w:val="00415B6F"/>
    <w:rsid w:val="00420A38"/>
    <w:rsid w:val="00430751"/>
    <w:rsid w:val="00431A98"/>
    <w:rsid w:val="00431B19"/>
    <w:rsid w:val="0043746C"/>
    <w:rsid w:val="0044268E"/>
    <w:rsid w:val="0044382E"/>
    <w:rsid w:val="00452193"/>
    <w:rsid w:val="004649AD"/>
    <w:rsid w:val="0046556F"/>
    <w:rsid w:val="004661AD"/>
    <w:rsid w:val="00481B84"/>
    <w:rsid w:val="0048565F"/>
    <w:rsid w:val="0048665B"/>
    <w:rsid w:val="00486D92"/>
    <w:rsid w:val="00492C4C"/>
    <w:rsid w:val="004A4BF8"/>
    <w:rsid w:val="004A5530"/>
    <w:rsid w:val="004A557A"/>
    <w:rsid w:val="004B46E8"/>
    <w:rsid w:val="004C1B72"/>
    <w:rsid w:val="004D1D85"/>
    <w:rsid w:val="004D3C3A"/>
    <w:rsid w:val="004E1C7D"/>
    <w:rsid w:val="004E1CD1"/>
    <w:rsid w:val="004F3480"/>
    <w:rsid w:val="004F514E"/>
    <w:rsid w:val="0050366D"/>
    <w:rsid w:val="005042CD"/>
    <w:rsid w:val="005107EB"/>
    <w:rsid w:val="00511987"/>
    <w:rsid w:val="00521345"/>
    <w:rsid w:val="005235B2"/>
    <w:rsid w:val="00523AF9"/>
    <w:rsid w:val="005241CD"/>
    <w:rsid w:val="0052510B"/>
    <w:rsid w:val="00526B11"/>
    <w:rsid w:val="00526DF0"/>
    <w:rsid w:val="00545CC4"/>
    <w:rsid w:val="00550D9D"/>
    <w:rsid w:val="00551FFF"/>
    <w:rsid w:val="005576EB"/>
    <w:rsid w:val="005607A2"/>
    <w:rsid w:val="005677B0"/>
    <w:rsid w:val="0057198B"/>
    <w:rsid w:val="005860F6"/>
    <w:rsid w:val="00586672"/>
    <w:rsid w:val="00586B83"/>
    <w:rsid w:val="00590CFF"/>
    <w:rsid w:val="005938B5"/>
    <w:rsid w:val="005969F2"/>
    <w:rsid w:val="00597FAE"/>
    <w:rsid w:val="005A186F"/>
    <w:rsid w:val="005A396A"/>
    <w:rsid w:val="005A65F2"/>
    <w:rsid w:val="005B3101"/>
    <w:rsid w:val="005B32A3"/>
    <w:rsid w:val="005C0D44"/>
    <w:rsid w:val="005C1831"/>
    <w:rsid w:val="005C185B"/>
    <w:rsid w:val="005C566C"/>
    <w:rsid w:val="005C7D27"/>
    <w:rsid w:val="005C7E69"/>
    <w:rsid w:val="005D5D55"/>
    <w:rsid w:val="005E262D"/>
    <w:rsid w:val="005E3BA6"/>
    <w:rsid w:val="005F03AC"/>
    <w:rsid w:val="005F0A14"/>
    <w:rsid w:val="005F116E"/>
    <w:rsid w:val="005F1E17"/>
    <w:rsid w:val="005F23D3"/>
    <w:rsid w:val="005F3988"/>
    <w:rsid w:val="005F7E20"/>
    <w:rsid w:val="00601455"/>
    <w:rsid w:val="00605E43"/>
    <w:rsid w:val="006100F5"/>
    <w:rsid w:val="0061356A"/>
    <w:rsid w:val="006153BB"/>
    <w:rsid w:val="006300C0"/>
    <w:rsid w:val="0063395D"/>
    <w:rsid w:val="00635EA8"/>
    <w:rsid w:val="00636B1F"/>
    <w:rsid w:val="00647EB9"/>
    <w:rsid w:val="00656544"/>
    <w:rsid w:val="00656ABA"/>
    <w:rsid w:val="006652C3"/>
    <w:rsid w:val="00665F41"/>
    <w:rsid w:val="006917FE"/>
    <w:rsid w:val="00691FD0"/>
    <w:rsid w:val="00692148"/>
    <w:rsid w:val="006962FA"/>
    <w:rsid w:val="006A1A1E"/>
    <w:rsid w:val="006A34B8"/>
    <w:rsid w:val="006A7680"/>
    <w:rsid w:val="006C226B"/>
    <w:rsid w:val="006C5948"/>
    <w:rsid w:val="006C6E0B"/>
    <w:rsid w:val="006C6F25"/>
    <w:rsid w:val="006C71DA"/>
    <w:rsid w:val="006D7A9F"/>
    <w:rsid w:val="006E2985"/>
    <w:rsid w:val="006F0C48"/>
    <w:rsid w:val="006F0D7F"/>
    <w:rsid w:val="006F2A74"/>
    <w:rsid w:val="006F2B88"/>
    <w:rsid w:val="006F6565"/>
    <w:rsid w:val="00701938"/>
    <w:rsid w:val="00704C6B"/>
    <w:rsid w:val="007118F5"/>
    <w:rsid w:val="00711FA6"/>
    <w:rsid w:val="00712AA4"/>
    <w:rsid w:val="007144A0"/>
    <w:rsid w:val="007146C4"/>
    <w:rsid w:val="00715803"/>
    <w:rsid w:val="00720AD8"/>
    <w:rsid w:val="00720EF1"/>
    <w:rsid w:val="00721533"/>
    <w:rsid w:val="00721AA1"/>
    <w:rsid w:val="007237D1"/>
    <w:rsid w:val="00724A45"/>
    <w:rsid w:val="00724B67"/>
    <w:rsid w:val="00725A4A"/>
    <w:rsid w:val="007271EA"/>
    <w:rsid w:val="007348D9"/>
    <w:rsid w:val="00741179"/>
    <w:rsid w:val="0075418A"/>
    <w:rsid w:val="007547F8"/>
    <w:rsid w:val="00761FE5"/>
    <w:rsid w:val="00762E74"/>
    <w:rsid w:val="007632C5"/>
    <w:rsid w:val="007635E7"/>
    <w:rsid w:val="00765622"/>
    <w:rsid w:val="00770B6C"/>
    <w:rsid w:val="007779CB"/>
    <w:rsid w:val="0078157A"/>
    <w:rsid w:val="00783FEA"/>
    <w:rsid w:val="007918B6"/>
    <w:rsid w:val="007937C5"/>
    <w:rsid w:val="00795860"/>
    <w:rsid w:val="00797FA8"/>
    <w:rsid w:val="007A395D"/>
    <w:rsid w:val="007B2C4F"/>
    <w:rsid w:val="007B3E5A"/>
    <w:rsid w:val="007C2740"/>
    <w:rsid w:val="007C2BF5"/>
    <w:rsid w:val="007C346C"/>
    <w:rsid w:val="007E1164"/>
    <w:rsid w:val="007E1E85"/>
    <w:rsid w:val="007E2595"/>
    <w:rsid w:val="007F2B01"/>
    <w:rsid w:val="0080294B"/>
    <w:rsid w:val="0080332A"/>
    <w:rsid w:val="00817598"/>
    <w:rsid w:val="0082480E"/>
    <w:rsid w:val="008342DD"/>
    <w:rsid w:val="00836698"/>
    <w:rsid w:val="00837134"/>
    <w:rsid w:val="00850293"/>
    <w:rsid w:val="00851373"/>
    <w:rsid w:val="00851BA6"/>
    <w:rsid w:val="0085654D"/>
    <w:rsid w:val="008573CE"/>
    <w:rsid w:val="00861160"/>
    <w:rsid w:val="00866227"/>
    <w:rsid w:val="0086654F"/>
    <w:rsid w:val="008709A6"/>
    <w:rsid w:val="008800CA"/>
    <w:rsid w:val="008808B8"/>
    <w:rsid w:val="0088373E"/>
    <w:rsid w:val="008845C3"/>
    <w:rsid w:val="008959F6"/>
    <w:rsid w:val="008A356F"/>
    <w:rsid w:val="008A4653"/>
    <w:rsid w:val="008A4717"/>
    <w:rsid w:val="008A50CC"/>
    <w:rsid w:val="008A6A26"/>
    <w:rsid w:val="008A6F67"/>
    <w:rsid w:val="008C7965"/>
    <w:rsid w:val="008D1694"/>
    <w:rsid w:val="008D5374"/>
    <w:rsid w:val="008D7490"/>
    <w:rsid w:val="008D79CB"/>
    <w:rsid w:val="008E36EB"/>
    <w:rsid w:val="008E461F"/>
    <w:rsid w:val="008E5F01"/>
    <w:rsid w:val="008F07BC"/>
    <w:rsid w:val="008F3C64"/>
    <w:rsid w:val="008F59CE"/>
    <w:rsid w:val="008F7097"/>
    <w:rsid w:val="00903065"/>
    <w:rsid w:val="00915A71"/>
    <w:rsid w:val="009260AA"/>
    <w:rsid w:val="0092692B"/>
    <w:rsid w:val="00926AF9"/>
    <w:rsid w:val="00942121"/>
    <w:rsid w:val="00943E9C"/>
    <w:rsid w:val="00947304"/>
    <w:rsid w:val="00953F4D"/>
    <w:rsid w:val="00960BB8"/>
    <w:rsid w:val="00964F5C"/>
    <w:rsid w:val="00965950"/>
    <w:rsid w:val="00975882"/>
    <w:rsid w:val="0098107F"/>
    <w:rsid w:val="00982061"/>
    <w:rsid w:val="009831C0"/>
    <w:rsid w:val="00986454"/>
    <w:rsid w:val="0099161D"/>
    <w:rsid w:val="0099663A"/>
    <w:rsid w:val="009A0A2C"/>
    <w:rsid w:val="009A682D"/>
    <w:rsid w:val="009B48CD"/>
    <w:rsid w:val="009B59B0"/>
    <w:rsid w:val="009C0373"/>
    <w:rsid w:val="009D11EB"/>
    <w:rsid w:val="009E4A34"/>
    <w:rsid w:val="009E5738"/>
    <w:rsid w:val="009E5AD7"/>
    <w:rsid w:val="009E7614"/>
    <w:rsid w:val="009F010E"/>
    <w:rsid w:val="009F3B2B"/>
    <w:rsid w:val="00A0389B"/>
    <w:rsid w:val="00A11BA6"/>
    <w:rsid w:val="00A328A7"/>
    <w:rsid w:val="00A37C89"/>
    <w:rsid w:val="00A42A8B"/>
    <w:rsid w:val="00A446C9"/>
    <w:rsid w:val="00A479C2"/>
    <w:rsid w:val="00A50A3B"/>
    <w:rsid w:val="00A52E7F"/>
    <w:rsid w:val="00A56119"/>
    <w:rsid w:val="00A635D6"/>
    <w:rsid w:val="00A71675"/>
    <w:rsid w:val="00A7182F"/>
    <w:rsid w:val="00A75F4F"/>
    <w:rsid w:val="00A76B64"/>
    <w:rsid w:val="00A77481"/>
    <w:rsid w:val="00A806B6"/>
    <w:rsid w:val="00A80E57"/>
    <w:rsid w:val="00A8253D"/>
    <w:rsid w:val="00A8553A"/>
    <w:rsid w:val="00A86471"/>
    <w:rsid w:val="00A92B13"/>
    <w:rsid w:val="00A93AED"/>
    <w:rsid w:val="00A96CD2"/>
    <w:rsid w:val="00A97EDC"/>
    <w:rsid w:val="00AB1FFC"/>
    <w:rsid w:val="00AD3BE4"/>
    <w:rsid w:val="00AD7D62"/>
    <w:rsid w:val="00AD7E01"/>
    <w:rsid w:val="00AE1319"/>
    <w:rsid w:val="00AE195A"/>
    <w:rsid w:val="00AE34BB"/>
    <w:rsid w:val="00AE3A9A"/>
    <w:rsid w:val="00AE5137"/>
    <w:rsid w:val="00AE7466"/>
    <w:rsid w:val="00AF0A9A"/>
    <w:rsid w:val="00AF2A93"/>
    <w:rsid w:val="00B0645E"/>
    <w:rsid w:val="00B15BFA"/>
    <w:rsid w:val="00B226F2"/>
    <w:rsid w:val="00B249EB"/>
    <w:rsid w:val="00B252EF"/>
    <w:rsid w:val="00B27240"/>
    <w:rsid w:val="00B274DF"/>
    <w:rsid w:val="00B307E8"/>
    <w:rsid w:val="00B360BE"/>
    <w:rsid w:val="00B37C30"/>
    <w:rsid w:val="00B547F6"/>
    <w:rsid w:val="00B5514B"/>
    <w:rsid w:val="00B55ADC"/>
    <w:rsid w:val="00B56BDF"/>
    <w:rsid w:val="00B5715F"/>
    <w:rsid w:val="00B619D8"/>
    <w:rsid w:val="00B65812"/>
    <w:rsid w:val="00B705B7"/>
    <w:rsid w:val="00B714C9"/>
    <w:rsid w:val="00B775F9"/>
    <w:rsid w:val="00B7782D"/>
    <w:rsid w:val="00B77A02"/>
    <w:rsid w:val="00B808F5"/>
    <w:rsid w:val="00B85275"/>
    <w:rsid w:val="00B85CD6"/>
    <w:rsid w:val="00B90553"/>
    <w:rsid w:val="00B90A27"/>
    <w:rsid w:val="00B94D05"/>
    <w:rsid w:val="00B9554D"/>
    <w:rsid w:val="00B960B0"/>
    <w:rsid w:val="00BA191A"/>
    <w:rsid w:val="00BA25D5"/>
    <w:rsid w:val="00BB2B9F"/>
    <w:rsid w:val="00BB3F18"/>
    <w:rsid w:val="00BB50DB"/>
    <w:rsid w:val="00BB7D9E"/>
    <w:rsid w:val="00BC2334"/>
    <w:rsid w:val="00BC3E04"/>
    <w:rsid w:val="00BC5F06"/>
    <w:rsid w:val="00BD1739"/>
    <w:rsid w:val="00BD3CB8"/>
    <w:rsid w:val="00BD4E6F"/>
    <w:rsid w:val="00BD67C3"/>
    <w:rsid w:val="00BE73DD"/>
    <w:rsid w:val="00BF0869"/>
    <w:rsid w:val="00BF0A92"/>
    <w:rsid w:val="00BF32F0"/>
    <w:rsid w:val="00BF4DCE"/>
    <w:rsid w:val="00BF5438"/>
    <w:rsid w:val="00BF5A51"/>
    <w:rsid w:val="00C04D23"/>
    <w:rsid w:val="00C052D8"/>
    <w:rsid w:val="00C05CE5"/>
    <w:rsid w:val="00C1668C"/>
    <w:rsid w:val="00C27D9E"/>
    <w:rsid w:val="00C348D0"/>
    <w:rsid w:val="00C34B41"/>
    <w:rsid w:val="00C371E6"/>
    <w:rsid w:val="00C406CD"/>
    <w:rsid w:val="00C458D2"/>
    <w:rsid w:val="00C52236"/>
    <w:rsid w:val="00C6171E"/>
    <w:rsid w:val="00C639DD"/>
    <w:rsid w:val="00C63AA0"/>
    <w:rsid w:val="00C70270"/>
    <w:rsid w:val="00C723D7"/>
    <w:rsid w:val="00C73DE1"/>
    <w:rsid w:val="00C9376C"/>
    <w:rsid w:val="00CA35CB"/>
    <w:rsid w:val="00CA6F2C"/>
    <w:rsid w:val="00CB4FE2"/>
    <w:rsid w:val="00CB6682"/>
    <w:rsid w:val="00CC0586"/>
    <w:rsid w:val="00CC76AA"/>
    <w:rsid w:val="00CE19A4"/>
    <w:rsid w:val="00CE75F1"/>
    <w:rsid w:val="00CF033B"/>
    <w:rsid w:val="00CF1751"/>
    <w:rsid w:val="00CF1871"/>
    <w:rsid w:val="00CF75EC"/>
    <w:rsid w:val="00D019CE"/>
    <w:rsid w:val="00D1133E"/>
    <w:rsid w:val="00D17A34"/>
    <w:rsid w:val="00D2242B"/>
    <w:rsid w:val="00D26628"/>
    <w:rsid w:val="00D332B3"/>
    <w:rsid w:val="00D332FB"/>
    <w:rsid w:val="00D3414A"/>
    <w:rsid w:val="00D355E6"/>
    <w:rsid w:val="00D4202A"/>
    <w:rsid w:val="00D4285F"/>
    <w:rsid w:val="00D45051"/>
    <w:rsid w:val="00D46862"/>
    <w:rsid w:val="00D53E07"/>
    <w:rsid w:val="00D55207"/>
    <w:rsid w:val="00D659EA"/>
    <w:rsid w:val="00D72A0A"/>
    <w:rsid w:val="00D74828"/>
    <w:rsid w:val="00D77321"/>
    <w:rsid w:val="00D776F1"/>
    <w:rsid w:val="00D81801"/>
    <w:rsid w:val="00D823B6"/>
    <w:rsid w:val="00D85024"/>
    <w:rsid w:val="00D927A3"/>
    <w:rsid w:val="00D92B45"/>
    <w:rsid w:val="00D95962"/>
    <w:rsid w:val="00D96F26"/>
    <w:rsid w:val="00DA30F7"/>
    <w:rsid w:val="00DA4016"/>
    <w:rsid w:val="00DB7467"/>
    <w:rsid w:val="00DC0A13"/>
    <w:rsid w:val="00DC0E9E"/>
    <w:rsid w:val="00DC389B"/>
    <w:rsid w:val="00DC6023"/>
    <w:rsid w:val="00DD7481"/>
    <w:rsid w:val="00DD767B"/>
    <w:rsid w:val="00DE2FEE"/>
    <w:rsid w:val="00DF1855"/>
    <w:rsid w:val="00E00BE9"/>
    <w:rsid w:val="00E01A73"/>
    <w:rsid w:val="00E044B5"/>
    <w:rsid w:val="00E07519"/>
    <w:rsid w:val="00E1062A"/>
    <w:rsid w:val="00E11314"/>
    <w:rsid w:val="00E15EEB"/>
    <w:rsid w:val="00E22A11"/>
    <w:rsid w:val="00E31E5C"/>
    <w:rsid w:val="00E3300D"/>
    <w:rsid w:val="00E37B74"/>
    <w:rsid w:val="00E4191B"/>
    <w:rsid w:val="00E44DD2"/>
    <w:rsid w:val="00E45121"/>
    <w:rsid w:val="00E451D4"/>
    <w:rsid w:val="00E52981"/>
    <w:rsid w:val="00E558C3"/>
    <w:rsid w:val="00E55927"/>
    <w:rsid w:val="00E806B6"/>
    <w:rsid w:val="00E80720"/>
    <w:rsid w:val="00E8153B"/>
    <w:rsid w:val="00E833E9"/>
    <w:rsid w:val="00E912A6"/>
    <w:rsid w:val="00E923A8"/>
    <w:rsid w:val="00E96C6A"/>
    <w:rsid w:val="00EA17E6"/>
    <w:rsid w:val="00EA2CC6"/>
    <w:rsid w:val="00EA3754"/>
    <w:rsid w:val="00EA3EA7"/>
    <w:rsid w:val="00EA4844"/>
    <w:rsid w:val="00EA4CBB"/>
    <w:rsid w:val="00EA4D9C"/>
    <w:rsid w:val="00EA5A97"/>
    <w:rsid w:val="00EB022A"/>
    <w:rsid w:val="00EB75EE"/>
    <w:rsid w:val="00EC0EA3"/>
    <w:rsid w:val="00EC293C"/>
    <w:rsid w:val="00EC710E"/>
    <w:rsid w:val="00ED29CA"/>
    <w:rsid w:val="00ED6DEB"/>
    <w:rsid w:val="00ED711C"/>
    <w:rsid w:val="00EE2101"/>
    <w:rsid w:val="00EE38DC"/>
    <w:rsid w:val="00EE4C1D"/>
    <w:rsid w:val="00EF0E38"/>
    <w:rsid w:val="00EF3685"/>
    <w:rsid w:val="00F01601"/>
    <w:rsid w:val="00F04350"/>
    <w:rsid w:val="00F133DB"/>
    <w:rsid w:val="00F1433C"/>
    <w:rsid w:val="00F159EB"/>
    <w:rsid w:val="00F211C0"/>
    <w:rsid w:val="00F25BF4"/>
    <w:rsid w:val="00F267DB"/>
    <w:rsid w:val="00F27214"/>
    <w:rsid w:val="00F3289A"/>
    <w:rsid w:val="00F42549"/>
    <w:rsid w:val="00F467C1"/>
    <w:rsid w:val="00F46A86"/>
    <w:rsid w:val="00F46F6F"/>
    <w:rsid w:val="00F5210F"/>
    <w:rsid w:val="00F52B47"/>
    <w:rsid w:val="00F53A54"/>
    <w:rsid w:val="00F55300"/>
    <w:rsid w:val="00F60608"/>
    <w:rsid w:val="00F62217"/>
    <w:rsid w:val="00F653F6"/>
    <w:rsid w:val="00F65B16"/>
    <w:rsid w:val="00F71838"/>
    <w:rsid w:val="00F767FC"/>
    <w:rsid w:val="00F84614"/>
    <w:rsid w:val="00F9727E"/>
    <w:rsid w:val="00FA2458"/>
    <w:rsid w:val="00FA28DC"/>
    <w:rsid w:val="00FB17A9"/>
    <w:rsid w:val="00FB527C"/>
    <w:rsid w:val="00FB6F75"/>
    <w:rsid w:val="00FB78A9"/>
    <w:rsid w:val="00FC0EB3"/>
    <w:rsid w:val="00FC6210"/>
    <w:rsid w:val="00FC7D4D"/>
    <w:rsid w:val="00FD2576"/>
    <w:rsid w:val="00FD2B74"/>
    <w:rsid w:val="00FD3BB7"/>
    <w:rsid w:val="00FD675E"/>
    <w:rsid w:val="00FE0FFF"/>
    <w:rsid w:val="00FE19E2"/>
    <w:rsid w:val="00FE4FAD"/>
    <w:rsid w:val="00FE5674"/>
    <w:rsid w:val="00FE7936"/>
    <w:rsid w:val="00FE7B9D"/>
    <w:rsid w:val="00FF1AC6"/>
    <w:rsid w:val="00FF296E"/>
    <w:rsid w:val="00FF3D9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408DC2C"/>
  <w15:docId w15:val="{919596CC-C3B9-4CBC-B52A-FFE70A2F2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aliases w:val="Header 1,PA Chapter,h1,1,P1=1,First level,T1,Level 1,H1,Level a,mainchap,aa,Kapitel,Heading 1n,Heading 1n1,H11,h11,aa1,mainchap1,Kapitel1,Section Head,l1,Section Head1,l11,Appendix 11,h12,Section Head2,l12,Appendix 12,heading 1,Überschrift1,I1"/>
    <w:basedOn w:val="Normal"/>
    <w:next w:val="BodyText"/>
    <w:link w:val="Heading1Char"/>
    <w:qFormat/>
    <w:rsid w:val="00605E43"/>
    <w:pPr>
      <w:keepNext/>
      <w:spacing w:before="240" w:after="240"/>
      <w:outlineLvl w:val="0"/>
    </w:pPr>
    <w:rPr>
      <w:rFonts w:ascii="Calibri" w:hAnsi="Calibri"/>
      <w:b/>
      <w:caps/>
      <w:color w:val="0070C0"/>
      <w:kern w:val="28"/>
      <w:sz w:val="24"/>
      <w:lang w:eastAsia="de-DE"/>
    </w:rPr>
  </w:style>
  <w:style w:type="paragraph" w:styleId="Heading2">
    <w:name w:val="heading 2"/>
    <w:aliases w:val="Header 2,PA Major Section,headline,h,h2,H2dex,H21,Second level,T2,Normal Heading 2,Normal Heading 1,l2,list + change bar,X,H2,sub-sect,21,sub-sect1,heading 2,22,sub-sect2,211,sub-sect11,heading 21,23,sub-sect3,212,sub-sect12,heading 22,24,213"/>
    <w:basedOn w:val="Normal"/>
    <w:next w:val="BodyText"/>
    <w:link w:val="Heading2Char"/>
    <w:qFormat/>
    <w:rsid w:val="00605E43"/>
    <w:pPr>
      <w:spacing w:before="120" w:after="120"/>
      <w:outlineLvl w:val="1"/>
    </w:pPr>
    <w:rPr>
      <w:rFonts w:ascii="Calibri" w:hAnsi="Calibri"/>
      <w:b/>
      <w:color w:val="0070C0"/>
      <w:sz w:val="24"/>
      <w:szCs w:val="24"/>
    </w:rPr>
  </w:style>
  <w:style w:type="paragraph" w:styleId="Heading3">
    <w:name w:val="heading 3"/>
    <w:aliases w:val="Header 3,PA Minor Section,h3,heading 3,b,2,3 bullet,SECOND,B1,b1,Second,bullet pt,3,H3dex,Third level,T3,l3,Guide 3,Req 3,sub-sub,31,sub-sub1,32,sub-sub2,33,sub-sub3,34,sub-sub4,311,sub-sub11,heading 31,35,sub-sub5,312,sub-sub12,heading 32,321"/>
    <w:basedOn w:val="Normal"/>
    <w:next w:val="BodyText"/>
    <w:link w:val="Heading3Char"/>
    <w:qFormat/>
    <w:rsid w:val="00D332B3"/>
    <w:pPr>
      <w:keepNext/>
      <w:spacing w:before="120" w:after="120"/>
      <w:outlineLvl w:val="2"/>
    </w:pPr>
    <w:rPr>
      <w:szCs w:val="20"/>
      <w:lang w:eastAsia="de-DE"/>
    </w:rPr>
  </w:style>
  <w:style w:type="paragraph" w:styleId="Heading4">
    <w:name w:val="heading 4"/>
    <w:aliases w:val="PA Micro Section,4,H4,Fourth level,T4,EIVIS Title 4,h4,OT Hdg 4,OT Hdg 41,3559Heading 4,s4,Unterunterabschnitt,4m,Heading 4n,s41,H41,T41,Unterunterabschnitt1,4m1,Bloc,Titre 4 a),l4,mh1l,Module heading 1 large (18 points),l41,mh1l1"/>
    <w:basedOn w:val="Normal"/>
    <w:next w:val="BodyTextIndent"/>
    <w:link w:val="Heading4Char"/>
    <w:qFormat/>
    <w:rsid w:val="00D332B3"/>
    <w:pPr>
      <w:keepNext/>
      <w:spacing w:before="120" w:after="120"/>
      <w:outlineLvl w:val="3"/>
    </w:pPr>
    <w:rPr>
      <w:szCs w:val="20"/>
      <w:lang w:val="en-US" w:eastAsia="de-DE"/>
    </w:rPr>
  </w:style>
  <w:style w:type="paragraph" w:styleId="Heading5">
    <w:name w:val="heading 5"/>
    <w:aliases w:val="PA Pico Section,5,Title 5,annexe,annexe ntc,h5,OT Hdg 5,OT Hdg 51,mh2,Module heading 2,mh21,Module heading 21,mh22,Module heading 22,Überschrift 51,H51,h51,Überschrift 511,H52,h52,Überschrift 512,H53,h53,Überschrift 513,H54,h54,H55,h55,H511,H5"/>
    <w:basedOn w:val="Normal"/>
    <w:next w:val="Normal"/>
    <w:link w:val="Heading5Char"/>
    <w:qFormat/>
    <w:rsid w:val="00D332B3"/>
    <w:pPr>
      <w:spacing w:before="240" w:after="120"/>
      <w:outlineLvl w:val="4"/>
    </w:pPr>
    <w:rPr>
      <w:rFonts w:eastAsia="Times New Roman" w:cs="Times New Roman"/>
      <w:szCs w:val="20"/>
      <w:lang w:val="de-DE" w:eastAsia="de-DE"/>
    </w:rPr>
  </w:style>
  <w:style w:type="paragraph" w:styleId="Heading6">
    <w:name w:val="heading 6"/>
    <w:aliases w:val="PA Appendix,Title 6,Titre 5 ntc,H6,Überschrift 61,Überschrift 611,Überschrift 612,Überschrift 613,Überschrift 614,Überschrift 615,Überschrift 6111,Überschrift 6121,Überschrift 6131,Überschrift 6141,Überschrift 616,Überschrift 6112,h6,H61,cnp"/>
    <w:basedOn w:val="Normal"/>
    <w:next w:val="BodyTextIndent2"/>
    <w:link w:val="Heading6Char"/>
    <w:qFormat/>
    <w:rsid w:val="00D332B3"/>
    <w:pPr>
      <w:tabs>
        <w:tab w:val="left" w:pos="1418"/>
      </w:tabs>
      <w:spacing w:before="120" w:after="120"/>
      <w:outlineLvl w:val="5"/>
    </w:pPr>
    <w:rPr>
      <w:szCs w:val="20"/>
      <w:lang w:val="de-DE" w:eastAsia="de-DE"/>
    </w:rPr>
  </w:style>
  <w:style w:type="paragraph" w:styleId="Heading7">
    <w:name w:val="heading 7"/>
    <w:aliases w:val="PA Appendix Major,Title 7,App Heading1,h7,Überschrift 71,Überschrift 711,h71,Überschrift 712,Überschrift 7111,h72,Überschrift 713,Überschrift 7112,h73,Überschrift 714,Überschrift 7113,h74,Überschrift 715,Überschrift 7114,h75,7"/>
    <w:basedOn w:val="Normal"/>
    <w:next w:val="BodyTextIndent2"/>
    <w:link w:val="Heading7Char"/>
    <w:qFormat/>
    <w:rsid w:val="00D332B3"/>
    <w:pPr>
      <w:tabs>
        <w:tab w:val="left" w:pos="1701"/>
      </w:tabs>
      <w:spacing w:before="120" w:after="120"/>
      <w:outlineLvl w:val="6"/>
    </w:pPr>
    <w:rPr>
      <w:szCs w:val="20"/>
      <w:lang w:val="de-DE" w:eastAsia="de-DE"/>
    </w:rPr>
  </w:style>
  <w:style w:type="paragraph" w:styleId="Heading8">
    <w:name w:val="heading 8"/>
    <w:aliases w:val="PA Appendix Minor,(table no.),(requirement),Figure Title,Figure Title1,Appendix Heading 11"/>
    <w:basedOn w:val="Normal"/>
    <w:next w:val="BodyTextIndent2"/>
    <w:link w:val="Heading8Char"/>
    <w:qFormat/>
    <w:rsid w:val="00D332B3"/>
    <w:pPr>
      <w:tabs>
        <w:tab w:val="left" w:pos="1985"/>
      </w:tabs>
      <w:spacing w:before="120" w:after="120"/>
      <w:outlineLvl w:val="7"/>
    </w:pPr>
    <w:rPr>
      <w:szCs w:val="20"/>
      <w:lang w:val="de-DE" w:eastAsia="de-DE"/>
    </w:rPr>
  </w:style>
  <w:style w:type="paragraph" w:styleId="Heading9">
    <w:name w:val="heading 9"/>
    <w:aliases w:val="(figure no.)"/>
    <w:basedOn w:val="Normal"/>
    <w:next w:val="BodyTextIndent2"/>
    <w:link w:val="Heading9Char"/>
    <w:qFormat/>
    <w:rsid w:val="00D332B3"/>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PA Chapter Char,h1 Char,1 Char,P1=1 Char,First level Char,T1 Char,Level 1 Char,H1 Char,Level a Char,mainchap Char,aa Char,Kapitel Char,Heading 1n Char,Heading 1n1 Char,H11 Char,h11 Char,aa1 Char,mainchap1 Char,Kapitel1 Char"/>
    <w:link w:val="Heading1"/>
    <w:rsid w:val="00605E43"/>
    <w:rPr>
      <w:rFonts w:cs="Calibri"/>
      <w:b/>
      <w:caps/>
      <w:color w:val="0070C0"/>
      <w:kern w:val="28"/>
      <w:sz w:val="24"/>
      <w:szCs w:val="22"/>
      <w:lang w:eastAsia="de-DE"/>
    </w:rPr>
  </w:style>
  <w:style w:type="character" w:customStyle="1" w:styleId="Heading2Char">
    <w:name w:val="Heading 2 Char"/>
    <w:aliases w:val="Header 2 Char,PA Major Section Char,headline Char,h Char,h2 Char,H2dex Char,H21 Char,Second level Char,T2 Char,Normal Heading 2 Char,Normal Heading 1 Char,l2 Char,list + change bar Char,X Char,H2 Char,sub-sect Char,21 Char,sub-sect1 Char"/>
    <w:link w:val="Heading2"/>
    <w:rsid w:val="00605E43"/>
    <w:rPr>
      <w:rFonts w:cs="Calibri"/>
      <w:b/>
      <w:color w:val="0070C0"/>
      <w:sz w:val="24"/>
      <w:szCs w:val="24"/>
    </w:rPr>
  </w:style>
  <w:style w:type="paragraph" w:customStyle="1" w:styleId="Annex">
    <w:name w:val="Annex"/>
    <w:basedOn w:val="Heading1"/>
    <w:next w:val="Normal"/>
    <w:link w:val="AnnexChar"/>
    <w:qFormat/>
    <w:rsid w:val="00056CB5"/>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6100F5"/>
    <w:pPr>
      <w:numPr>
        <w:numId w:val="16"/>
      </w:numPr>
      <w:spacing w:before="120" w:after="120"/>
      <w:outlineLvl w:val="1"/>
    </w:pPr>
    <w:rPr>
      <w:rFonts w:ascii="Calibri" w:hAnsi="Calibri" w:cs="Arial"/>
      <w:b/>
      <w:caps/>
      <w:color w:val="4F81BD" w:themeColor="accent1"/>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E01A73"/>
    <w:pPr>
      <w:numPr>
        <w:ilvl w:val="2"/>
        <w:numId w:val="3"/>
      </w:numPr>
      <w:spacing w:before="120" w:after="120"/>
    </w:pPr>
    <w:rPr>
      <w:rFonts w:asciiTheme="minorHAnsi" w:hAnsiTheme="minorHAnsi" w:cs="Arial"/>
      <w:color w:val="4F81BD" w:themeColor="accent1"/>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6F2B88"/>
    <w:pPr>
      <w:spacing w:after="120"/>
      <w:jc w:val="both"/>
    </w:pPr>
    <w:rPr>
      <w:rFonts w:asciiTheme="minorHAnsi" w:hAnsiTheme="minorHAnsi"/>
    </w:rPr>
  </w:style>
  <w:style w:type="character" w:customStyle="1" w:styleId="BodyTextChar">
    <w:name w:val="Body Text Char"/>
    <w:link w:val="BodyText"/>
    <w:rsid w:val="006F2B88"/>
    <w:rPr>
      <w:rFonts w:asciiTheme="minorHAnsi" w:hAnsiTheme="minorHAnsi" w:cs="Calibri"/>
      <w:sz w:val="22"/>
      <w:szCs w:val="22"/>
    </w:rPr>
  </w:style>
  <w:style w:type="paragraph" w:customStyle="1" w:styleId="Bullet1">
    <w:name w:val="Bullet 1"/>
    <w:basedOn w:val="Normal"/>
    <w:qFormat/>
    <w:rsid w:val="00056CB5"/>
    <w:pPr>
      <w:tabs>
        <w:tab w:val="left" w:pos="1134"/>
      </w:tabs>
      <w:spacing w:after="120"/>
      <w:jc w:val="both"/>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0"/>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aliases w:val="Header 3 Char,PA Minor Section Char,h3 Char,heading 3 Char,b Char,2 Char,3 bullet Char,SECOND Char,B1 Char,b1 Char,Second Char,bullet pt Char,3 Char,H3dex Char,Third level Char,T3 Char,l3 Char,Guide 3 Char,Req 3 Char,sub-sub Char,31 Char"/>
    <w:link w:val="Heading3"/>
    <w:rsid w:val="00E00BE9"/>
    <w:rPr>
      <w:rFonts w:ascii="Arial" w:hAnsi="Arial" w:cs="Calibri"/>
      <w:sz w:val="22"/>
      <w:lang w:eastAsia="de-DE"/>
    </w:rPr>
  </w:style>
  <w:style w:type="character" w:customStyle="1" w:styleId="Heading4Char">
    <w:name w:val="Heading 4 Char"/>
    <w:aliases w:val="PA Micro Section Char,4 Char,H4 Char,Fourth level Char,T4 Char,EIVIS Title 4 Char,h4 Char,OT Hdg 4 Char,OT Hdg 41 Char,3559Heading 4 Char,s4 Char,Unterunterabschnitt Char,4m Char,Heading 4n Char,s41 Char,H41 Char,T41 Char,4m1 Char,l4 Char"/>
    <w:link w:val="Heading4"/>
    <w:rsid w:val="00E00BE9"/>
    <w:rPr>
      <w:rFonts w:ascii="Arial" w:hAnsi="Arial" w:cs="Calibri"/>
      <w:sz w:val="22"/>
      <w:lang w:val="en-US" w:eastAsia="de-DE"/>
    </w:rPr>
  </w:style>
  <w:style w:type="character" w:customStyle="1" w:styleId="Heading5Char">
    <w:name w:val="Heading 5 Char"/>
    <w:aliases w:val="PA Pico Section Char,5 Char,Title 5 Char,annexe Char,annexe ntc Char,h5 Char,OT Hdg 5 Char,OT Hdg 51 Char,mh2 Char,Module heading 2 Char,mh21 Char,Module heading 21 Char,mh22 Char,Module heading 22 Char,Überschrift 51 Char,H51 Char"/>
    <w:link w:val="Heading5"/>
    <w:rsid w:val="00D332B3"/>
    <w:rPr>
      <w:rFonts w:ascii="Arial" w:eastAsia="Times New Roman" w:hAnsi="Arial"/>
      <w:sz w:val="22"/>
      <w:lang w:val="de-DE" w:eastAsia="de-DE"/>
    </w:rPr>
  </w:style>
  <w:style w:type="character" w:customStyle="1" w:styleId="Heading6Char">
    <w:name w:val="Heading 6 Char"/>
    <w:aliases w:val="PA Appendix Char,Title 6 Char,Titre 5 ntc Char,H6 Char,Überschrift 61 Char,Überschrift 611 Char,Überschrift 612 Char,Überschrift 613 Char,Überschrift 614 Char,Überschrift 615 Char,Überschrift 6111 Char,Überschrift 6121 Char,h6 Char"/>
    <w:link w:val="Heading6"/>
    <w:rsid w:val="00E00BE9"/>
    <w:rPr>
      <w:rFonts w:ascii="Arial" w:hAnsi="Arial" w:cs="Calibri"/>
      <w:sz w:val="22"/>
      <w:lang w:val="de-DE" w:eastAsia="de-DE"/>
    </w:rPr>
  </w:style>
  <w:style w:type="character" w:customStyle="1" w:styleId="Heading7Char">
    <w:name w:val="Heading 7 Char"/>
    <w:aliases w:val="PA Appendix Major Char,Title 7 Char,App Heading1 Char,h7 Char,Überschrift 71 Char,Überschrift 711 Char,h71 Char,Überschrift 712 Char,Überschrift 7111 Char,h72 Char,Überschrift 713 Char,Überschrift 7112 Char,h73 Char,Überschrift 714 Char"/>
    <w:link w:val="Heading7"/>
    <w:rsid w:val="00E00BE9"/>
    <w:rPr>
      <w:rFonts w:ascii="Arial" w:hAnsi="Arial" w:cs="Calibri"/>
      <w:sz w:val="22"/>
      <w:lang w:val="de-DE" w:eastAsia="de-DE"/>
    </w:rPr>
  </w:style>
  <w:style w:type="character" w:customStyle="1" w:styleId="Heading8Char">
    <w:name w:val="Heading 8 Char"/>
    <w:aliases w:val="PA Appendix Minor Char,(table no.) Char,(requirement) Char,Figure Title Char,Figure Title1 Char,Appendix Heading 11 Char"/>
    <w:link w:val="Heading8"/>
    <w:rsid w:val="00E00BE9"/>
    <w:rPr>
      <w:rFonts w:ascii="Arial" w:hAnsi="Arial" w:cs="Calibri"/>
      <w:sz w:val="22"/>
      <w:lang w:val="de-DE" w:eastAsia="de-DE"/>
    </w:rPr>
  </w:style>
  <w:style w:type="character" w:customStyle="1" w:styleId="Heading9Char">
    <w:name w:val="Heading 9 Char"/>
    <w:aliases w:val="(figure no.)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8"/>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9"/>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1"/>
      </w:numPr>
      <w:spacing w:before="120" w:after="240"/>
      <w:ind w:left="1985" w:hanging="1985"/>
    </w:pPr>
    <w:rPr>
      <w:b/>
      <w:sz w:val="24"/>
      <w:szCs w:val="28"/>
      <w:lang w:eastAsia="en-US"/>
    </w:rPr>
  </w:style>
  <w:style w:type="paragraph" w:styleId="BalloonText">
    <w:name w:val="Balloon Text"/>
    <w:basedOn w:val="Normal"/>
    <w:link w:val="BalloonTextChar"/>
    <w:unhideWhenUsed/>
    <w:rsid w:val="008A356F"/>
    <w:rPr>
      <w:rFonts w:ascii="Tahoma" w:hAnsi="Tahoma" w:cs="Tahoma"/>
      <w:sz w:val="16"/>
      <w:szCs w:val="16"/>
    </w:rPr>
  </w:style>
  <w:style w:type="character" w:customStyle="1" w:styleId="BalloonTextChar">
    <w:name w:val="Balloon Text Char"/>
    <w:basedOn w:val="DefaultParagraphFont"/>
    <w:link w:val="BalloonText"/>
    <w:rsid w:val="008A356F"/>
    <w:rPr>
      <w:rFonts w:ascii="Tahoma" w:hAnsi="Tahoma" w:cs="Tahoma"/>
      <w:sz w:val="16"/>
      <w:szCs w:val="16"/>
    </w:rPr>
  </w:style>
  <w:style w:type="paragraph" w:styleId="ListParagraph">
    <w:name w:val="List Paragraph"/>
    <w:aliases w:val="S-P puce2"/>
    <w:basedOn w:val="Normal"/>
    <w:link w:val="ListParagraphChar"/>
    <w:uiPriority w:val="34"/>
    <w:qFormat/>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nhideWhenUsed/>
    <w:rsid w:val="00EA5A97"/>
    <w:rPr>
      <w:b/>
      <w:bCs/>
    </w:rPr>
  </w:style>
  <w:style w:type="character" w:customStyle="1" w:styleId="CommentSubjectChar">
    <w:name w:val="Comment Subject Char"/>
    <w:basedOn w:val="CommentTextChar"/>
    <w:link w:val="CommentSubject"/>
    <w:rsid w:val="00EA5A97"/>
    <w:rPr>
      <w:rFonts w:ascii="Arial" w:hAnsi="Arial" w:cs="Calibri"/>
      <w:b/>
      <w:bCs/>
    </w:rPr>
  </w:style>
  <w:style w:type="paragraph" w:customStyle="1" w:styleId="Titlefirstpage">
    <w:name w:val="Title first page"/>
    <w:basedOn w:val="Normal"/>
    <w:rsid w:val="001A586E"/>
    <w:pPr>
      <w:ind w:right="-55"/>
      <w:jc w:val="center"/>
    </w:pPr>
    <w:rPr>
      <w:rFonts w:ascii="Times New Roman" w:eastAsia="Times New Roman" w:hAnsi="Times New Roman" w:cs="Times New Roman"/>
      <w:b/>
      <w:sz w:val="48"/>
      <w:szCs w:val="24"/>
      <w:lang w:eastAsia="en-US"/>
    </w:rPr>
  </w:style>
  <w:style w:type="paragraph" w:customStyle="1" w:styleId="statusdoc">
    <w:name w:val="statusdoc"/>
    <w:basedOn w:val="Normal"/>
    <w:rsid w:val="001A586E"/>
    <w:pPr>
      <w:pBdr>
        <w:top w:val="single" w:sz="12" w:space="1" w:color="auto"/>
        <w:left w:val="single" w:sz="12" w:space="1" w:color="auto"/>
        <w:bottom w:val="single" w:sz="12" w:space="1" w:color="auto"/>
        <w:right w:val="single" w:sz="12" w:space="1" w:color="auto"/>
      </w:pBdr>
      <w:tabs>
        <w:tab w:val="left" w:pos="7088"/>
        <w:tab w:val="right" w:pos="9923"/>
      </w:tabs>
      <w:spacing w:after="40"/>
      <w:ind w:left="5387"/>
      <w:jc w:val="both"/>
    </w:pPr>
    <w:rPr>
      <w:rFonts w:ascii="Times New Roman" w:eastAsia="Times New Roman" w:hAnsi="Times New Roman" w:cs="Times New Roman"/>
      <w:b/>
      <w:sz w:val="24"/>
      <w:szCs w:val="24"/>
      <w:lang w:eastAsia="en-US"/>
    </w:rPr>
  </w:style>
  <w:style w:type="paragraph" w:customStyle="1" w:styleId="TitleWithinDoc">
    <w:name w:val="Title_Within_Doc"/>
    <w:basedOn w:val="TOC1"/>
    <w:rsid w:val="001A586E"/>
    <w:pPr>
      <w:tabs>
        <w:tab w:val="clear" w:pos="567"/>
        <w:tab w:val="clear" w:pos="9639"/>
        <w:tab w:val="right" w:leader="dot" w:pos="10195"/>
      </w:tabs>
      <w:spacing w:before="240"/>
      <w:ind w:right="0"/>
      <w:jc w:val="center"/>
    </w:pPr>
    <w:rPr>
      <w:rFonts w:ascii="Times New Roman" w:hAnsi="Times New Roman" w:cs="Times New Roman"/>
      <w:b/>
      <w:i/>
      <w:caps w:val="0"/>
      <w:smallCaps/>
      <w:sz w:val="44"/>
      <w:szCs w:val="28"/>
    </w:rPr>
  </w:style>
  <w:style w:type="paragraph" w:customStyle="1" w:styleId="TableHeader">
    <w:name w:val="Table Header"/>
    <w:basedOn w:val="Normal"/>
    <w:rsid w:val="001A586E"/>
    <w:pPr>
      <w:keepNext/>
      <w:keepLines/>
      <w:suppressAutoHyphens/>
      <w:spacing w:before="60" w:after="60"/>
      <w:jc w:val="center"/>
    </w:pPr>
    <w:rPr>
      <w:rFonts w:ascii="Trebuchet MS" w:eastAsia="Times New Roman" w:hAnsi="Trebuchet MS" w:cs="Times New Roman"/>
      <w:szCs w:val="24"/>
      <w:lang w:eastAsia="en-US"/>
    </w:rPr>
  </w:style>
  <w:style w:type="table" w:customStyle="1" w:styleId="TableESP-ESSP">
    <w:name w:val="Table ESP-ESSP"/>
    <w:basedOn w:val="TableGrid"/>
    <w:rsid w:val="001A586E"/>
    <w:pPr>
      <w:spacing w:before="60" w:after="60"/>
    </w:pPr>
    <w:rPr>
      <w:rFonts w:ascii="Times New Roman" w:eastAsia="Times New Roman" w:hAnsi="Times New Roman"/>
      <w:sz w:val="21"/>
      <w:lang w:val="fr-FR" w:eastAsia="fr-FR"/>
    </w:rPr>
    <w:tblPr>
      <w:jc w:val="center"/>
      <w:tblInd w:w="0" w:type="dxa"/>
      <w:tblBorders>
        <w:top w:val="double" w:sz="4" w:space="0" w:color="auto"/>
        <w:left w:val="double" w:sz="4" w:space="0" w:color="auto"/>
        <w:bottom w:val="double" w:sz="4" w:space="0" w:color="auto"/>
        <w:right w:val="double" w:sz="4" w:space="0" w:color="auto"/>
      </w:tblBorders>
      <w:tblCellMar>
        <w:top w:w="0" w:type="dxa"/>
        <w:left w:w="85" w:type="dxa"/>
        <w:bottom w:w="0" w:type="dxa"/>
        <w:right w:w="85" w:type="dxa"/>
      </w:tblCellMar>
    </w:tblPr>
    <w:trPr>
      <w:jc w:val="center"/>
    </w:trPr>
    <w:tcPr>
      <w:vAlign w:val="center"/>
    </w:tcPr>
    <w:tblStylePr w:type="firstRow">
      <w:pPr>
        <w:wordWrap/>
        <w:jc w:val="center"/>
      </w:pPr>
      <w:rPr>
        <w:rFonts w:ascii="Times New Roman" w:hAnsi="Times New Roman" w:cs="Times New Roman"/>
        <w:b/>
        <w:bCs/>
        <w:i w:val="0"/>
        <w:iCs w:val="0"/>
        <w:sz w:val="21"/>
        <w:szCs w:val="21"/>
      </w:rPr>
      <w:tblPr/>
      <w:tcPr>
        <w:tcBorders>
          <w:top w:val="double" w:sz="4" w:space="0" w:color="auto"/>
          <w:left w:val="double" w:sz="4" w:space="0" w:color="auto"/>
          <w:bottom w:val="single" w:sz="12" w:space="0" w:color="auto"/>
          <w:right w:val="double" w:sz="4" w:space="0" w:color="auto"/>
          <w:insideH w:val="nil"/>
          <w:insideV w:val="single" w:sz="2" w:space="0" w:color="auto"/>
          <w:tl2br w:val="nil"/>
          <w:tr2bl w:val="nil"/>
        </w:tcBorders>
        <w:shd w:val="clear" w:color="auto" w:fill="E6E6E6"/>
      </w:tcPr>
    </w:tblStylePr>
  </w:style>
  <w:style w:type="paragraph" w:customStyle="1" w:styleId="TableHeader0">
    <w:name w:val="TableHeader"/>
    <w:rsid w:val="001A586E"/>
    <w:pPr>
      <w:jc w:val="center"/>
    </w:pPr>
    <w:rPr>
      <w:rFonts w:ascii="Times New Roman" w:eastAsia="Times New Roman" w:hAnsi="Times New Roman"/>
      <w:b/>
      <w:bCs/>
      <w:sz w:val="24"/>
      <w:lang w:eastAsia="en-US"/>
    </w:rPr>
  </w:style>
  <w:style w:type="paragraph" w:customStyle="1" w:styleId="Style1">
    <w:name w:val="Style1"/>
    <w:basedOn w:val="Normal"/>
    <w:rsid w:val="001A586E"/>
    <w:pPr>
      <w:framePr w:hSpace="141" w:wrap="around" w:vAnchor="text" w:hAnchor="margin" w:y="104"/>
      <w:jc w:val="center"/>
    </w:pPr>
    <w:rPr>
      <w:rFonts w:ascii="Times New Roman" w:eastAsia="Times New Roman" w:hAnsi="Times New Roman" w:cs="Times New Roman"/>
      <w:b/>
      <w:i/>
      <w:sz w:val="24"/>
      <w:szCs w:val="24"/>
      <w:lang w:val="en-US" w:eastAsia="en-US"/>
    </w:rPr>
  </w:style>
  <w:style w:type="paragraph" w:customStyle="1" w:styleId="MainText">
    <w:name w:val="Main Text"/>
    <w:basedOn w:val="Normal"/>
    <w:qFormat/>
    <w:rsid w:val="001A586E"/>
    <w:pPr>
      <w:spacing w:before="60" w:after="120"/>
      <w:ind w:left="567"/>
      <w:jc w:val="both"/>
    </w:pPr>
    <w:rPr>
      <w:rFonts w:ascii="Times New Roman" w:eastAsia="Times New Roman" w:hAnsi="Times New Roman" w:cs="Times New Roman"/>
      <w:lang w:eastAsia="en-US"/>
    </w:rPr>
  </w:style>
  <w:style w:type="paragraph" w:styleId="DocumentMap">
    <w:name w:val="Document Map"/>
    <w:basedOn w:val="Normal"/>
    <w:link w:val="DocumentMapChar"/>
    <w:rsid w:val="001A586E"/>
    <w:rPr>
      <w:rFonts w:ascii="Tahoma" w:eastAsia="Times New Roman" w:hAnsi="Tahoma" w:cs="Tahoma"/>
      <w:sz w:val="16"/>
      <w:szCs w:val="16"/>
      <w:lang w:eastAsia="en-US"/>
    </w:rPr>
  </w:style>
  <w:style w:type="character" w:customStyle="1" w:styleId="DocumentMapChar">
    <w:name w:val="Document Map Char"/>
    <w:basedOn w:val="DefaultParagraphFont"/>
    <w:link w:val="DocumentMap"/>
    <w:rsid w:val="001A586E"/>
    <w:rPr>
      <w:rFonts w:ascii="Tahoma" w:eastAsia="Times New Roman" w:hAnsi="Tahoma" w:cs="Tahoma"/>
      <w:sz w:val="16"/>
      <w:szCs w:val="16"/>
      <w:lang w:eastAsia="en-US"/>
    </w:rPr>
  </w:style>
  <w:style w:type="paragraph" w:styleId="Caption">
    <w:name w:val="caption"/>
    <w:aliases w:val="Table,Legend,topic,Légende italique,kuvateksti,Figure No,c,C,topic Carattere,topic1,topic2,topic3,Ca,3559Caption,topic4,c1,C1,Legend1,topic11,topic21,topic31,3559Caption1,no,topic + 10 pt,Figure N...,Figure-caption,CAPTION,Figure Caption"/>
    <w:basedOn w:val="Normal"/>
    <w:next w:val="Normal"/>
    <w:link w:val="CaptionChar"/>
    <w:uiPriority w:val="99"/>
    <w:unhideWhenUsed/>
    <w:qFormat/>
    <w:rsid w:val="001A586E"/>
    <w:pPr>
      <w:spacing w:after="200"/>
    </w:pPr>
    <w:rPr>
      <w:rFonts w:ascii="Times New Roman" w:eastAsia="Times New Roman" w:hAnsi="Times New Roman" w:cs="Times New Roman"/>
      <w:b/>
      <w:bCs/>
      <w:color w:val="4F81BD" w:themeColor="accent1"/>
      <w:sz w:val="18"/>
      <w:szCs w:val="18"/>
      <w:lang w:eastAsia="en-US"/>
    </w:rPr>
  </w:style>
  <w:style w:type="character" w:customStyle="1" w:styleId="apple-converted-space">
    <w:name w:val="apple-converted-space"/>
    <w:basedOn w:val="DefaultParagraphFont"/>
    <w:rsid w:val="001A586E"/>
  </w:style>
  <w:style w:type="table" w:styleId="TableProfessional">
    <w:name w:val="Table Professional"/>
    <w:basedOn w:val="TableNormal"/>
    <w:rsid w:val="001A586E"/>
    <w:rPr>
      <w:rFonts w:ascii="Times New Roman" w:eastAsia="Times New Roman" w:hAnsi="Times New Roman"/>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CaptionChar">
    <w:name w:val="Caption Char"/>
    <w:aliases w:val="Table Char,Legend Char,topic Char,Légende italique Char,kuvateksti Char,Figure No Char,c Char,C Char,topic Carattere Char,topic1 Char,topic2 Char,topic3 Char,Ca Char,3559Caption Char,topic4 Char,c1 Char,C1 Char,Legend1 Char,topic11 Char"/>
    <w:basedOn w:val="DefaultParagraphFont"/>
    <w:link w:val="Caption"/>
    <w:uiPriority w:val="99"/>
    <w:locked/>
    <w:rsid w:val="001A586E"/>
    <w:rPr>
      <w:rFonts w:ascii="Times New Roman" w:eastAsia="Times New Roman" w:hAnsi="Times New Roman"/>
      <w:b/>
      <w:bCs/>
      <w:color w:val="4F81BD" w:themeColor="accent1"/>
      <w:sz w:val="18"/>
      <w:szCs w:val="18"/>
      <w:lang w:eastAsia="en-US"/>
    </w:rPr>
  </w:style>
  <w:style w:type="paragraph" w:styleId="Revision">
    <w:name w:val="Revision"/>
    <w:hidden/>
    <w:uiPriority w:val="99"/>
    <w:semiHidden/>
    <w:rsid w:val="001A586E"/>
    <w:rPr>
      <w:rFonts w:ascii="Times New Roman" w:eastAsia="Times New Roman" w:hAnsi="Times New Roman"/>
      <w:sz w:val="24"/>
      <w:szCs w:val="24"/>
      <w:lang w:eastAsia="en-US"/>
    </w:rPr>
  </w:style>
  <w:style w:type="character" w:customStyle="1" w:styleId="CharChar">
    <w:name w:val="Char Char"/>
    <w:rsid w:val="001A586E"/>
    <w:rPr>
      <w:sz w:val="24"/>
      <w:lang w:val="en-US" w:eastAsia="en-US" w:bidi="ar-SA"/>
    </w:rPr>
  </w:style>
  <w:style w:type="paragraph" w:styleId="NormalWeb">
    <w:name w:val="Normal (Web)"/>
    <w:basedOn w:val="Normal"/>
    <w:uiPriority w:val="99"/>
    <w:unhideWhenUsed/>
    <w:rsid w:val="001A586E"/>
    <w:pPr>
      <w:spacing w:before="100" w:beforeAutospacing="1" w:after="100" w:afterAutospacing="1"/>
    </w:pPr>
    <w:rPr>
      <w:rFonts w:ascii="Times New Roman" w:eastAsia="Times New Roman" w:hAnsi="Times New Roman" w:cs="Times New Roman"/>
      <w:sz w:val="24"/>
      <w:szCs w:val="24"/>
      <w:lang w:val="fr-FR" w:eastAsia="fr-FR"/>
    </w:rPr>
  </w:style>
  <w:style w:type="character" w:styleId="FollowedHyperlink">
    <w:name w:val="FollowedHyperlink"/>
    <w:basedOn w:val="DefaultParagraphFont"/>
    <w:rsid w:val="001A586E"/>
    <w:rPr>
      <w:color w:val="800080" w:themeColor="followedHyperlink"/>
      <w:u w:val="single"/>
    </w:rPr>
  </w:style>
  <w:style w:type="paragraph" w:customStyle="1" w:styleId="FigureCaption">
    <w:name w:val="Figure_Caption"/>
    <w:basedOn w:val="Normal"/>
    <w:rsid w:val="001A586E"/>
    <w:pPr>
      <w:spacing w:before="120" w:after="120"/>
      <w:jc w:val="center"/>
    </w:pPr>
    <w:rPr>
      <w:rFonts w:ascii="Times New Roman" w:eastAsia="Times New Roman" w:hAnsi="Times New Roman" w:cs="Times New Roman"/>
      <w:iCs/>
      <w:sz w:val="20"/>
      <w:szCs w:val="24"/>
      <w:lang w:eastAsia="en-US"/>
    </w:rPr>
  </w:style>
  <w:style w:type="paragraph" w:customStyle="1" w:styleId="BulletInput">
    <w:name w:val="Bullet Input"/>
    <w:basedOn w:val="Normal"/>
    <w:uiPriority w:val="99"/>
    <w:rsid w:val="001A586E"/>
    <w:pPr>
      <w:numPr>
        <w:numId w:val="13"/>
      </w:numPr>
      <w:tabs>
        <w:tab w:val="clear" w:pos="1985"/>
        <w:tab w:val="num" w:pos="567"/>
      </w:tabs>
      <w:spacing w:after="120"/>
      <w:ind w:left="567" w:hanging="567"/>
      <w:jc w:val="both"/>
    </w:pPr>
    <w:rPr>
      <w:rFonts w:ascii="Times New Roman" w:eastAsia="Times New Roman" w:hAnsi="Times New Roman" w:cs="Times New Roman"/>
      <w:sz w:val="24"/>
      <w:szCs w:val="24"/>
      <w:lang w:eastAsia="en-US"/>
    </w:rPr>
  </w:style>
  <w:style w:type="paragraph" w:customStyle="1" w:styleId="Appendix-1">
    <w:name w:val="Appendix-1"/>
    <w:basedOn w:val="Heading1"/>
    <w:next w:val="Normal"/>
    <w:uiPriority w:val="99"/>
    <w:rsid w:val="001A586E"/>
    <w:pPr>
      <w:pageBreakBefore/>
      <w:numPr>
        <w:numId w:val="14"/>
      </w:numPr>
      <w:tabs>
        <w:tab w:val="left" w:pos="2268"/>
      </w:tabs>
      <w:spacing w:after="120"/>
    </w:pPr>
    <w:rPr>
      <w:rFonts w:ascii="Trebuchet MS" w:eastAsia="Times New Roman" w:hAnsi="Trebuchet MS" w:cs="Times New Roman"/>
      <w:color w:val="auto"/>
      <w:kern w:val="0"/>
      <w:sz w:val="28"/>
      <w:szCs w:val="28"/>
      <w:lang w:val="fr-FR" w:eastAsia="en-US"/>
    </w:rPr>
  </w:style>
  <w:style w:type="paragraph" w:customStyle="1" w:styleId="Appendix-2">
    <w:name w:val="Appendix-2"/>
    <w:basedOn w:val="Heading2"/>
    <w:next w:val="Normal"/>
    <w:uiPriority w:val="99"/>
    <w:rsid w:val="001A586E"/>
    <w:pPr>
      <w:tabs>
        <w:tab w:val="num" w:pos="2160"/>
      </w:tabs>
      <w:spacing w:before="240"/>
      <w:ind w:left="360" w:hanging="360"/>
    </w:pPr>
    <w:rPr>
      <w:rFonts w:ascii="Tahoma" w:eastAsia="Times New Roman" w:hAnsi="Tahoma" w:cs="Arial"/>
      <w:b w:val="0"/>
      <w:bCs/>
      <w:iCs/>
      <w:color w:val="auto"/>
      <w:sz w:val="26"/>
      <w:lang w:val="fr-FR" w:eastAsia="en-US"/>
    </w:rPr>
  </w:style>
  <w:style w:type="character" w:customStyle="1" w:styleId="ListParagraphChar">
    <w:name w:val="List Paragraph Char"/>
    <w:aliases w:val="S-P puce2 Char"/>
    <w:link w:val="ListParagraph"/>
    <w:uiPriority w:val="34"/>
    <w:rsid w:val="001A586E"/>
    <w:rPr>
      <w:rFonts w:ascii="Arial" w:hAnsi="Arial" w:cs="Calibri"/>
      <w:sz w:val="22"/>
      <w:szCs w:val="22"/>
    </w:rPr>
  </w:style>
  <w:style w:type="paragraph" w:customStyle="1" w:styleId="Pa0">
    <w:name w:val="Pa0"/>
    <w:basedOn w:val="Normal"/>
    <w:next w:val="Normal"/>
    <w:uiPriority w:val="99"/>
    <w:rsid w:val="001A586E"/>
    <w:pPr>
      <w:autoSpaceDE w:val="0"/>
      <w:autoSpaceDN w:val="0"/>
      <w:adjustRightInd w:val="0"/>
      <w:spacing w:line="241" w:lineRule="atLeast"/>
    </w:pPr>
    <w:rPr>
      <w:rFonts w:ascii="BTLRCM+HelveticaNeue-Roman" w:eastAsia="Times New Roman" w:hAnsi="BTLRCM+HelveticaNeue-Roman" w:cs="Times New Roman"/>
      <w:sz w:val="24"/>
      <w:szCs w:val="24"/>
      <w:lang w:val="es-ES_tradnl"/>
    </w:rPr>
  </w:style>
  <w:style w:type="character" w:customStyle="1" w:styleId="A1">
    <w:name w:val="A1"/>
    <w:uiPriority w:val="99"/>
    <w:rsid w:val="001A586E"/>
    <w:rPr>
      <w:rFonts w:cs="BTLRCM+HelveticaNeue-Roman"/>
      <w:color w:val="000000"/>
      <w:sz w:val="18"/>
      <w:szCs w:val="18"/>
    </w:rPr>
  </w:style>
  <w:style w:type="paragraph" w:customStyle="1" w:styleId="Pa7">
    <w:name w:val="Pa7"/>
    <w:basedOn w:val="Normal"/>
    <w:next w:val="Normal"/>
    <w:uiPriority w:val="99"/>
    <w:rsid w:val="001A586E"/>
    <w:pPr>
      <w:autoSpaceDE w:val="0"/>
      <w:autoSpaceDN w:val="0"/>
      <w:adjustRightInd w:val="0"/>
      <w:spacing w:line="241" w:lineRule="atLeast"/>
    </w:pPr>
    <w:rPr>
      <w:rFonts w:ascii="BTLRCM+HelveticaNeue-Roman" w:eastAsia="Times New Roman" w:hAnsi="BTLRCM+HelveticaNeue-Roman" w:cs="Times New Roman"/>
      <w:sz w:val="24"/>
      <w:szCs w:val="24"/>
      <w:lang w:val="es-ES_tradnl"/>
    </w:rPr>
  </w:style>
  <w:style w:type="paragraph" w:styleId="Quote">
    <w:name w:val="Quote"/>
    <w:basedOn w:val="Normal"/>
    <w:next w:val="Normal"/>
    <w:link w:val="QuoteChar"/>
    <w:qFormat/>
    <w:rsid w:val="00E01A73"/>
    <w:rPr>
      <w:i/>
      <w:iCs/>
      <w:color w:val="000000" w:themeColor="text1"/>
    </w:rPr>
  </w:style>
  <w:style w:type="character" w:customStyle="1" w:styleId="QuoteChar">
    <w:name w:val="Quote Char"/>
    <w:basedOn w:val="DefaultParagraphFont"/>
    <w:link w:val="Quote"/>
    <w:rsid w:val="00E01A73"/>
    <w:rPr>
      <w:rFonts w:ascii="Arial" w:hAnsi="Arial" w:cs="Calibri"/>
      <w:i/>
      <w:iCs/>
      <w:color w:val="000000" w:themeColor="text1"/>
      <w:sz w:val="22"/>
      <w:szCs w:val="22"/>
    </w:rPr>
  </w:style>
  <w:style w:type="paragraph" w:customStyle="1" w:styleId="Annex2">
    <w:name w:val="Annex 2"/>
    <w:basedOn w:val="Annex"/>
    <w:link w:val="Annex2Char"/>
    <w:rsid w:val="008A6A26"/>
    <w:pPr>
      <w:pageBreakBefore/>
      <w:numPr>
        <w:numId w:val="17"/>
      </w:numPr>
      <w:pBdr>
        <w:bottom w:val="single" w:sz="18" w:space="4" w:color="auto"/>
      </w:pBdr>
      <w:tabs>
        <w:tab w:val="clear" w:pos="1701"/>
      </w:tabs>
      <w:jc w:val="left"/>
    </w:pPr>
    <w:rPr>
      <w:rFonts w:eastAsia="Times New Roman"/>
      <w:kern w:val="28"/>
      <w:lang w:eastAsia="de-DE"/>
    </w:rPr>
  </w:style>
  <w:style w:type="character" w:customStyle="1" w:styleId="AnnexChar">
    <w:name w:val="Annex Char"/>
    <w:basedOn w:val="Heading1Char"/>
    <w:link w:val="Annex"/>
    <w:rsid w:val="008A6A26"/>
    <w:rPr>
      <w:rFonts w:cs="Calibri"/>
      <w:b/>
      <w:caps/>
      <w:snapToGrid w:val="0"/>
      <w:color w:val="0070C0"/>
      <w:kern w:val="28"/>
      <w:sz w:val="24"/>
      <w:szCs w:val="22"/>
      <w:lang w:eastAsia="de-DE"/>
    </w:rPr>
  </w:style>
  <w:style w:type="paragraph" w:customStyle="1" w:styleId="Style2">
    <w:name w:val="Style2"/>
    <w:basedOn w:val="Heading2"/>
    <w:link w:val="Style2Char"/>
    <w:qFormat/>
    <w:rsid w:val="008A6A26"/>
    <w:pPr>
      <w:spacing w:before="240"/>
    </w:pPr>
    <w:rPr>
      <w:rFonts w:ascii="Trebuchet MS" w:eastAsia="Times New Roman" w:hAnsi="Trebuchet MS" w:cs="Arial"/>
      <w:b w:val="0"/>
      <w:sz w:val="26"/>
      <w:lang w:eastAsia="en-US"/>
    </w:rPr>
  </w:style>
  <w:style w:type="character" w:customStyle="1" w:styleId="Annex2Char">
    <w:name w:val="Annex 2 Char"/>
    <w:basedOn w:val="AnnexChar"/>
    <w:link w:val="Annex2"/>
    <w:rsid w:val="008A6A26"/>
    <w:rPr>
      <w:rFonts w:eastAsia="Times New Roman" w:cs="Calibri"/>
      <w:b/>
      <w:caps/>
      <w:snapToGrid w:val="0"/>
      <w:color w:val="0070C0"/>
      <w:kern w:val="28"/>
      <w:sz w:val="24"/>
      <w:szCs w:val="22"/>
      <w:lang w:eastAsia="de-DE"/>
    </w:rPr>
  </w:style>
  <w:style w:type="character" w:customStyle="1" w:styleId="Style2Char">
    <w:name w:val="Style2 Char"/>
    <w:basedOn w:val="Heading2Char"/>
    <w:link w:val="Style2"/>
    <w:rsid w:val="008A6A26"/>
    <w:rPr>
      <w:rFonts w:ascii="Trebuchet MS" w:eastAsia="Times New Roman" w:hAnsi="Trebuchet MS" w:cs="Arial"/>
      <w:b w:val="0"/>
      <w:color w:val="0070C0"/>
      <w:sz w:val="26"/>
      <w:szCs w:val="24"/>
      <w:lang w:eastAsia="en-US"/>
    </w:rPr>
  </w:style>
  <w:style w:type="paragraph" w:customStyle="1" w:styleId="Annex1">
    <w:name w:val="Annex_1"/>
    <w:basedOn w:val="Heading1"/>
    <w:link w:val="Annex1Char"/>
    <w:rsid w:val="008A6A26"/>
    <w:pPr>
      <w:pageBreakBefore/>
      <w:numPr>
        <w:numId w:val="18"/>
      </w:numPr>
      <w:pBdr>
        <w:bottom w:val="single" w:sz="18" w:space="4" w:color="auto"/>
      </w:pBdr>
    </w:pPr>
    <w:rPr>
      <w:rFonts w:ascii="Trebuchet MS" w:eastAsia="Times New Roman" w:hAnsi="Trebuchet MS"/>
      <w:bCs/>
      <w:sz w:val="28"/>
      <w:szCs w:val="28"/>
      <w:lang w:eastAsia="en-US"/>
    </w:rPr>
  </w:style>
  <w:style w:type="paragraph" w:customStyle="1" w:styleId="Annex20">
    <w:name w:val="Annex_2"/>
    <w:basedOn w:val="Annex1"/>
    <w:link w:val="Annex2Char0"/>
    <w:rsid w:val="008A6A26"/>
    <w:pPr>
      <w:pageBreakBefore w:val="0"/>
      <w:numPr>
        <w:numId w:val="0"/>
      </w:numPr>
      <w:pBdr>
        <w:bottom w:val="none" w:sz="0" w:space="0" w:color="auto"/>
      </w:pBdr>
    </w:pPr>
    <w:rPr>
      <w:b w:val="0"/>
      <w:kern w:val="0"/>
      <w:sz w:val="26"/>
    </w:rPr>
  </w:style>
  <w:style w:type="character" w:customStyle="1" w:styleId="Annex1Char">
    <w:name w:val="Annex_1 Char"/>
    <w:basedOn w:val="Heading1Char"/>
    <w:link w:val="Annex1"/>
    <w:rsid w:val="008A6A26"/>
    <w:rPr>
      <w:rFonts w:ascii="Trebuchet MS" w:eastAsia="Times New Roman" w:hAnsi="Trebuchet MS" w:cs="Calibri"/>
      <w:b/>
      <w:bCs/>
      <w:caps/>
      <w:color w:val="0070C0"/>
      <w:kern w:val="28"/>
      <w:sz w:val="28"/>
      <w:szCs w:val="28"/>
      <w:lang w:eastAsia="en-US"/>
    </w:rPr>
  </w:style>
  <w:style w:type="character" w:customStyle="1" w:styleId="Annex2Char0">
    <w:name w:val="Annex_2 Char"/>
    <w:basedOn w:val="Heading2Char"/>
    <w:link w:val="Annex20"/>
    <w:rsid w:val="008A6A26"/>
    <w:rPr>
      <w:rFonts w:ascii="Trebuchet MS" w:eastAsia="Times New Roman" w:hAnsi="Trebuchet MS" w:cs="Calibri"/>
      <w:b w:val="0"/>
      <w:bCs/>
      <w:caps/>
      <w:color w:val="0070C0"/>
      <w:sz w:val="26"/>
      <w:szCs w:val="28"/>
      <w:lang w:eastAsia="en-US"/>
    </w:rPr>
  </w:style>
  <w:style w:type="table" w:styleId="LightGrid">
    <w:name w:val="Light Grid"/>
    <w:basedOn w:val="TableNormal"/>
    <w:uiPriority w:val="62"/>
    <w:rsid w:val="008A6A26"/>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TableList4">
    <w:name w:val="Table List 4"/>
    <w:basedOn w:val="TableNormal"/>
    <w:rsid w:val="008A6A26"/>
    <w:rPr>
      <w:rFonts w:ascii="Times New Roman" w:eastAsia="Times New Roman" w:hAnsi="Times New Roman"/>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1stlevelbullet">
    <w:name w:val="1st level bullet"/>
    <w:basedOn w:val="BodyText"/>
    <w:rsid w:val="00ED711C"/>
    <w:pPr>
      <w:numPr>
        <w:numId w:val="19"/>
      </w:numPr>
      <w:spacing w:before="60" w:after="60"/>
      <w:jc w:val="left"/>
    </w:pPr>
    <w:rPr>
      <w:rFonts w:ascii="Times New Roman" w:eastAsia="Times New Roman" w:hAnsi="Times New Roman" w:cs="Times New Roman"/>
      <w:bCs/>
      <w:sz w:val="21"/>
      <w:szCs w:val="24"/>
      <w:lang w:eastAsia="en-US"/>
    </w:rPr>
  </w:style>
  <w:style w:type="paragraph" w:customStyle="1" w:styleId="4thlevelbullet">
    <w:name w:val="4th level bullet"/>
    <w:basedOn w:val="BodyText"/>
    <w:rsid w:val="00ED711C"/>
    <w:pPr>
      <w:numPr>
        <w:numId w:val="20"/>
      </w:numPr>
      <w:tabs>
        <w:tab w:val="left" w:pos="834"/>
      </w:tabs>
      <w:spacing w:before="60" w:after="60"/>
      <w:jc w:val="left"/>
    </w:pPr>
    <w:rPr>
      <w:rFonts w:ascii="Times New Roman" w:eastAsia="Times New Roman" w:hAnsi="Times New Roman" w:cs="Times New Roman"/>
      <w:bCs/>
      <w:sz w:val="21"/>
      <w:szCs w:val="24"/>
      <w:lang w:eastAsia="en-US"/>
    </w:rPr>
  </w:style>
  <w:style w:type="table" w:customStyle="1" w:styleId="TableGrid1">
    <w:name w:val="Table Grid1"/>
    <w:basedOn w:val="TableNormal"/>
    <w:next w:val="TableGrid"/>
    <w:uiPriority w:val="39"/>
    <w:rsid w:val="00D2242B"/>
    <w:pPr>
      <w:spacing w:after="120"/>
      <w:jc w:val="both"/>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F65B16"/>
    <w:pPr>
      <w:spacing w:after="120"/>
      <w:jc w:val="both"/>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741179"/>
    <w:pPr>
      <w:spacing w:after="120"/>
      <w:jc w:val="both"/>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C52236"/>
    <w:pPr>
      <w:spacing w:after="120"/>
      <w:jc w:val="both"/>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323453">
      <w:bodyDiv w:val="1"/>
      <w:marLeft w:val="0"/>
      <w:marRight w:val="0"/>
      <w:marTop w:val="0"/>
      <w:marBottom w:val="0"/>
      <w:divBdr>
        <w:top w:val="none" w:sz="0" w:space="0" w:color="auto"/>
        <w:left w:val="none" w:sz="0" w:space="0" w:color="auto"/>
        <w:bottom w:val="none" w:sz="0" w:space="0" w:color="auto"/>
        <w:right w:val="none" w:sz="0" w:space="0" w:color="auto"/>
      </w:divBdr>
    </w:div>
    <w:div w:id="1333877488">
      <w:bodyDiv w:val="1"/>
      <w:marLeft w:val="0"/>
      <w:marRight w:val="0"/>
      <w:marTop w:val="0"/>
      <w:marBottom w:val="0"/>
      <w:divBdr>
        <w:top w:val="none" w:sz="0" w:space="0" w:color="auto"/>
        <w:left w:val="none" w:sz="0" w:space="0" w:color="auto"/>
        <w:bottom w:val="none" w:sz="0" w:space="0" w:color="auto"/>
        <w:right w:val="none" w:sz="0" w:space="0" w:color="auto"/>
      </w:divBdr>
    </w:div>
    <w:div w:id="1956592145">
      <w:bodyDiv w:val="1"/>
      <w:marLeft w:val="0"/>
      <w:marRight w:val="0"/>
      <w:marTop w:val="0"/>
      <w:marBottom w:val="0"/>
      <w:divBdr>
        <w:top w:val="none" w:sz="0" w:space="0" w:color="auto"/>
        <w:left w:val="none" w:sz="0" w:space="0" w:color="auto"/>
        <w:bottom w:val="none" w:sz="0" w:space="0" w:color="auto"/>
        <w:right w:val="none" w:sz="0" w:space="0" w:color="auto"/>
      </w:divBdr>
    </w:div>
    <w:div w:id="214022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europa.eu/rapid/press-release_IP-14-314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7C094-E2CE-43A2-BD18-739A76959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5097</Words>
  <Characters>29057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2017-02-27T22:37:00Z</dcterms:created>
  <dcterms:modified xsi:type="dcterms:W3CDTF">2017-02-27T22:37:00Z</dcterms:modified>
</cp:coreProperties>
</file>